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C90843" w:rsidRDefault="00C90843" w:rsidP="00C90843">
      <w:pPr>
        <w:pStyle w:val="Ttulo1"/>
        <w:jc w:val="center"/>
        <w:rPr>
          <w:rFonts w:ascii="Lato" w:hAnsi="Lato"/>
          <w:b w:val="0"/>
          <w:color w:val="595959" w:themeColor="text1" w:themeTint="A6"/>
        </w:rPr>
      </w:pPr>
      <w:bookmarkStart w:id="0" w:name="_Toc159420252"/>
      <w:r>
        <w:rPr>
          <w:rFonts w:ascii="Lato" w:hAnsi="Lato"/>
          <w:b w:val="0"/>
          <w:color w:val="595959" w:themeColor="text1" w:themeTint="A6"/>
        </w:rPr>
        <w:t>ANEXO 1. PROCEDIMIENTOS ESPECÍFICOS DE PROYECTOS</w:t>
      </w:r>
      <w:bookmarkEnd w:id="0"/>
    </w:p>
    <w:p w:rsidR="00C90843" w:rsidRDefault="00C90843" w:rsidP="00C90843"/>
    <w:p w:rsidR="00C90843" w:rsidRPr="00CB087A" w:rsidRDefault="00C90843" w:rsidP="00C90843"/>
    <w:p w:rsidR="00C90843" w:rsidRDefault="00C90843" w:rsidP="00C90843">
      <w:pPr>
        <w:pStyle w:val="Ttulo1"/>
        <w:rPr>
          <w:rFonts w:ascii="Lato" w:hAnsi="Lato"/>
          <w:color w:val="595959" w:themeColor="text1" w:themeTint="A6"/>
          <w:sz w:val="22"/>
          <w:szCs w:val="22"/>
          <w:lang w:val="es-ES"/>
        </w:rPr>
      </w:pPr>
      <w:bookmarkStart w:id="1" w:name="_Toc95218405"/>
      <w:bookmarkStart w:id="2" w:name="_Toc159420253"/>
      <w:r>
        <w:rPr>
          <w:rFonts w:ascii="Lato" w:hAnsi="Lato"/>
          <w:color w:val="595959" w:themeColor="text1" w:themeTint="A6"/>
          <w:sz w:val="22"/>
          <w:szCs w:val="22"/>
          <w:lang w:val="es-ES"/>
        </w:rPr>
        <w:t>A1. Introducción</w:t>
      </w:r>
      <w:bookmarkEnd w:id="1"/>
      <w:bookmarkEnd w:id="2"/>
    </w:p>
    <w:p w:rsidR="00C90843" w:rsidRDefault="00C90843" w:rsidP="00C90843">
      <w:pPr>
        <w:keepLines/>
        <w:spacing w:beforeLines="120" w:before="288" w:afterLines="120" w:after="288" w:line="288" w:lineRule="auto"/>
        <w:jc w:val="both"/>
        <w:rPr>
          <w:rFonts w:ascii="Lato" w:hAnsi="Lato"/>
          <w:color w:val="595959" w:themeColor="text1" w:themeTint="A6"/>
          <w:sz w:val="22"/>
          <w:szCs w:val="22"/>
          <w:lang w:val="es-ES"/>
        </w:rPr>
      </w:pPr>
      <w:r>
        <w:rPr>
          <w:rFonts w:ascii="Lato" w:hAnsi="Lato"/>
          <w:color w:val="595959" w:themeColor="text1" w:themeTint="A6"/>
          <w:sz w:val="22"/>
          <w:szCs w:val="22"/>
          <w:lang w:val="es-ES"/>
        </w:rPr>
        <w:t xml:space="preserve">Este anexo presenta las características específicas de los proyectos a cargo de FMCN, que definen su estrategia operativa. El orden de la presentación de los proyectos responde a los objetivos estratégicos externos de FMCN, como se encuentran en la siguiente tabla: </w:t>
      </w:r>
    </w:p>
    <w:tbl>
      <w:tblPr>
        <w:tblStyle w:val="Tablanormal21"/>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359"/>
      </w:tblGrid>
      <w:tr w:rsidR="00C90843" w:rsidRPr="00F871C5" w:rsidTr="00B211B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359" w:type="dxa"/>
            <w:tcBorders>
              <w:bottom w:val="none" w:sz="0" w:space="0" w:color="auto"/>
            </w:tcBorders>
            <w:shd w:val="clear" w:color="auto" w:fill="D9D9D9" w:themeFill="background1" w:themeFillShade="D9"/>
          </w:tcPr>
          <w:p w:rsidR="00C90843" w:rsidRPr="00F871C5" w:rsidRDefault="00C90843" w:rsidP="00B211B4">
            <w:pPr>
              <w:rPr>
                <w:rFonts w:ascii="Lato" w:hAnsi="Lato" w:cs="Times New Roman"/>
                <w:color w:val="595959" w:themeColor="text1" w:themeTint="A6"/>
                <w:lang w:val="es-ES"/>
              </w:rPr>
            </w:pPr>
            <w:bookmarkStart w:id="3" w:name="_Toc61884148"/>
            <w:r w:rsidRPr="00F871C5">
              <w:rPr>
                <w:rFonts w:ascii="Lato" w:hAnsi="Lato" w:cs="Times New Roman"/>
                <w:color w:val="595959" w:themeColor="text1" w:themeTint="A6"/>
                <w:lang w:val="es-ES"/>
              </w:rPr>
              <w:t>Objetivo estratégico:</w:t>
            </w:r>
            <w:r>
              <w:rPr>
                <w:rFonts w:ascii="Lato" w:hAnsi="Lato" w:cs="Times New Roman"/>
                <w:color w:val="595959" w:themeColor="text1" w:themeTint="A6"/>
                <w:lang w:val="es-ES"/>
              </w:rPr>
              <w:t xml:space="preserve"> </w:t>
            </w:r>
            <w:r w:rsidRPr="00CC2163">
              <w:rPr>
                <w:rFonts w:ascii="Lato" w:hAnsi="Lato" w:cs="Times New Roman"/>
                <w:b w:val="0"/>
                <w:bCs w:val="0"/>
                <w:color w:val="595959" w:themeColor="text1" w:themeTint="A6"/>
                <w:lang w:val="es-ES"/>
              </w:rPr>
              <w:t>Conservación</w:t>
            </w:r>
          </w:p>
        </w:tc>
      </w:tr>
      <w:tr w:rsidR="00C90843" w:rsidRPr="00F871C5" w:rsidTr="00B211B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359" w:type="dxa"/>
            <w:tcBorders>
              <w:top w:val="none" w:sz="0" w:space="0" w:color="auto"/>
              <w:bottom w:val="none" w:sz="0" w:space="0" w:color="auto"/>
            </w:tcBorders>
          </w:tcPr>
          <w:p w:rsidR="00C90843" w:rsidRDefault="00C90843" w:rsidP="00B211B4">
            <w:pPr>
              <w:rPr>
                <w:rFonts w:ascii="Lato" w:hAnsi="Lato" w:cs="Times New Roman"/>
                <w:b w:val="0"/>
                <w:bCs w:val="0"/>
                <w:color w:val="595959" w:themeColor="text1" w:themeTint="A6"/>
                <w:lang w:val="es-ES"/>
              </w:rPr>
            </w:pPr>
            <w:r>
              <w:rPr>
                <w:rFonts w:ascii="Lato" w:hAnsi="Lato" w:cs="Times New Roman"/>
                <w:b w:val="0"/>
                <w:bCs w:val="0"/>
                <w:color w:val="595959" w:themeColor="text1" w:themeTint="A6"/>
                <w:lang w:val="es-ES"/>
              </w:rPr>
              <w:t>1</w:t>
            </w:r>
            <w:r w:rsidRPr="00CC2163">
              <w:rPr>
                <w:rFonts w:ascii="Lato" w:hAnsi="Lato" w:cs="Times New Roman"/>
                <w:b w:val="0"/>
                <w:bCs w:val="0"/>
                <w:color w:val="595959" w:themeColor="text1" w:themeTint="A6"/>
                <w:lang w:val="es-ES"/>
              </w:rPr>
              <w:t>. Fondo para Áreas Naturales Protegidas</w:t>
            </w:r>
            <w:r>
              <w:rPr>
                <w:rFonts w:ascii="Lato" w:hAnsi="Lato" w:cs="Times New Roman"/>
                <w:b w:val="0"/>
                <w:bCs w:val="0"/>
                <w:color w:val="595959" w:themeColor="text1" w:themeTint="A6"/>
                <w:lang w:val="es-ES"/>
              </w:rPr>
              <w:t xml:space="preserve"> (Fanp)</w:t>
            </w:r>
          </w:p>
          <w:p w:rsidR="00C90843" w:rsidRPr="004C3E8D" w:rsidRDefault="00C90843" w:rsidP="00B211B4">
            <w:pPr>
              <w:rPr>
                <w:rFonts w:ascii="Lato" w:hAnsi="Lato" w:cs="Times New Roman"/>
                <w:b w:val="0"/>
                <w:bCs w:val="0"/>
                <w:color w:val="595959" w:themeColor="text1" w:themeTint="A6"/>
                <w:lang w:val="es-ES"/>
              </w:rPr>
            </w:pPr>
            <w:r w:rsidRPr="00CC2163">
              <w:rPr>
                <w:rFonts w:ascii="Lato" w:hAnsi="Lato" w:cs="Times New Roman"/>
                <w:b w:val="0"/>
                <w:bCs w:val="0"/>
                <w:color w:val="595959" w:themeColor="text1" w:themeTint="A6"/>
                <w:lang w:val="es-ES"/>
              </w:rPr>
              <w:t xml:space="preserve">2. Fondo de Conservación Calakmul </w:t>
            </w:r>
          </w:p>
          <w:p w:rsidR="00C90843" w:rsidRDefault="00C90843" w:rsidP="00B211B4">
            <w:pPr>
              <w:rPr>
                <w:rFonts w:ascii="Lato" w:hAnsi="Lato" w:cs="Times New Roman"/>
                <w:b w:val="0"/>
                <w:bCs w:val="0"/>
                <w:color w:val="595959" w:themeColor="text1" w:themeTint="A6"/>
                <w:lang w:val="es-ES"/>
              </w:rPr>
            </w:pPr>
            <w:r w:rsidRPr="00CC2163">
              <w:rPr>
                <w:rFonts w:ascii="Lato" w:hAnsi="Lato" w:cs="Times New Roman"/>
                <w:b w:val="0"/>
                <w:bCs w:val="0"/>
                <w:color w:val="595959" w:themeColor="text1" w:themeTint="A6"/>
                <w:lang w:val="es-ES"/>
              </w:rPr>
              <w:t>3. Fondo de Conservación de Especies en Riesgo (F</w:t>
            </w:r>
            <w:r>
              <w:rPr>
                <w:rFonts w:ascii="Lato" w:hAnsi="Lato" w:cs="Times New Roman"/>
                <w:b w:val="0"/>
                <w:bCs w:val="0"/>
                <w:color w:val="595959" w:themeColor="text1" w:themeTint="A6"/>
                <w:lang w:val="es-ES"/>
              </w:rPr>
              <w:t>oncer</w:t>
            </w:r>
            <w:r w:rsidRPr="00CC2163">
              <w:rPr>
                <w:rFonts w:ascii="Lato" w:hAnsi="Lato" w:cs="Times New Roman"/>
                <w:b w:val="0"/>
                <w:bCs w:val="0"/>
                <w:color w:val="595959" w:themeColor="text1" w:themeTint="A6"/>
                <w:lang w:val="es-ES"/>
              </w:rPr>
              <w:t>)</w:t>
            </w:r>
          </w:p>
          <w:p w:rsidR="00C90843" w:rsidRPr="00CC2163" w:rsidRDefault="00C90843" w:rsidP="00B211B4">
            <w:pPr>
              <w:rPr>
                <w:rFonts w:ascii="Lato" w:hAnsi="Lato" w:cs="Times New Roman"/>
                <w:b w:val="0"/>
                <w:bCs w:val="0"/>
                <w:color w:val="595959" w:themeColor="text1" w:themeTint="A6"/>
                <w:lang w:val="es-ES"/>
              </w:rPr>
            </w:pPr>
            <w:r>
              <w:rPr>
                <w:rFonts w:ascii="Lato" w:hAnsi="Lato" w:cs="Times New Roman"/>
                <w:b w:val="0"/>
                <w:bCs w:val="0"/>
                <w:color w:val="595959" w:themeColor="text1" w:themeTint="A6"/>
                <w:lang w:val="es-ES"/>
              </w:rPr>
              <w:t>4</w:t>
            </w:r>
            <w:r w:rsidRPr="00CC2163">
              <w:rPr>
                <w:rFonts w:ascii="Lato" w:hAnsi="Lato" w:cs="Times New Roman"/>
                <w:b w:val="0"/>
                <w:bCs w:val="0"/>
                <w:color w:val="595959" w:themeColor="text1" w:themeTint="A6"/>
                <w:lang w:val="es-ES"/>
              </w:rPr>
              <w:t>. Conservación de la Biodiversidad en la Sierra Madre Oriental y el Golfo de México (Sierra y Mar)</w:t>
            </w:r>
          </w:p>
          <w:p w:rsidR="00C90843" w:rsidRPr="00CC2163" w:rsidRDefault="00C90843" w:rsidP="00B211B4">
            <w:pPr>
              <w:rPr>
                <w:rFonts w:ascii="Lato" w:hAnsi="Lato" w:cs="Times New Roman"/>
                <w:b w:val="0"/>
                <w:bCs w:val="0"/>
                <w:color w:val="595959" w:themeColor="text1" w:themeTint="A6"/>
                <w:lang w:val="es-ES"/>
              </w:rPr>
            </w:pPr>
            <w:r>
              <w:rPr>
                <w:rFonts w:ascii="Lato" w:hAnsi="Lato" w:cs="Times New Roman"/>
                <w:b w:val="0"/>
                <w:bCs w:val="0"/>
                <w:color w:val="595959" w:themeColor="text1" w:themeTint="A6"/>
                <w:lang w:val="es-ES"/>
              </w:rPr>
              <w:t>5</w:t>
            </w:r>
            <w:r w:rsidRPr="00CC2163">
              <w:rPr>
                <w:rFonts w:ascii="Lato" w:hAnsi="Lato" w:cs="Times New Roman"/>
                <w:b w:val="0"/>
                <w:bCs w:val="0"/>
                <w:color w:val="595959" w:themeColor="text1" w:themeTint="A6"/>
                <w:lang w:val="es-ES"/>
              </w:rPr>
              <w:t>. Fondo Monte Mojino</w:t>
            </w:r>
          </w:p>
          <w:p w:rsidR="00C90843" w:rsidRDefault="00C90843" w:rsidP="00B211B4">
            <w:pPr>
              <w:rPr>
                <w:rFonts w:ascii="Lato" w:hAnsi="Lato" w:cs="Times New Roman"/>
                <w:b w:val="0"/>
                <w:bCs w:val="0"/>
                <w:color w:val="595959" w:themeColor="text1" w:themeTint="A6"/>
                <w:lang w:val="es-ES"/>
              </w:rPr>
            </w:pPr>
            <w:r>
              <w:rPr>
                <w:rFonts w:ascii="Lato" w:hAnsi="Lato" w:cs="Times New Roman"/>
                <w:b w:val="0"/>
                <w:bCs w:val="0"/>
                <w:color w:val="595959" w:themeColor="text1" w:themeTint="A6"/>
                <w:lang w:val="es-ES"/>
              </w:rPr>
              <w:t>6</w:t>
            </w:r>
            <w:r w:rsidRPr="00CC2163">
              <w:rPr>
                <w:rFonts w:ascii="Lato" w:hAnsi="Lato" w:cs="Times New Roman"/>
                <w:b w:val="0"/>
                <w:bCs w:val="0"/>
                <w:color w:val="595959" w:themeColor="text1" w:themeTint="A6"/>
                <w:lang w:val="es-ES"/>
              </w:rPr>
              <w:t>. Fondo para el Golfo de California</w:t>
            </w:r>
          </w:p>
          <w:p w:rsidR="00C90843" w:rsidRPr="00CC2163" w:rsidRDefault="00C90843" w:rsidP="00B211B4">
            <w:pPr>
              <w:rPr>
                <w:rFonts w:ascii="Lato" w:hAnsi="Lato" w:cs="Times New Roman"/>
                <w:b w:val="0"/>
                <w:bCs w:val="0"/>
                <w:color w:val="595959" w:themeColor="text1" w:themeTint="A6"/>
                <w:lang w:val="es-ES"/>
              </w:rPr>
            </w:pPr>
            <w:r>
              <w:rPr>
                <w:rFonts w:ascii="Lato" w:hAnsi="Lato" w:cs="Times New Roman"/>
                <w:b w:val="0"/>
                <w:bCs w:val="0"/>
                <w:color w:val="595959" w:themeColor="text1" w:themeTint="A6"/>
                <w:lang w:val="es-ES"/>
              </w:rPr>
              <w:t>7</w:t>
            </w:r>
            <w:r w:rsidRPr="00CC2163">
              <w:rPr>
                <w:rFonts w:ascii="Lato" w:hAnsi="Lato" w:cs="Times New Roman"/>
                <w:b w:val="0"/>
                <w:bCs w:val="0"/>
                <w:color w:val="595959" w:themeColor="text1" w:themeTint="A6"/>
                <w:lang w:val="es-ES"/>
              </w:rPr>
              <w:t>. Fondo para Tierras Privadas Costeras</w:t>
            </w:r>
          </w:p>
          <w:p w:rsidR="00C90843" w:rsidRPr="00A70100" w:rsidRDefault="00C90843" w:rsidP="00B211B4">
            <w:pPr>
              <w:rPr>
                <w:rFonts w:ascii="Lato" w:hAnsi="Lato" w:cs="Times New Roman"/>
                <w:b w:val="0"/>
                <w:bCs w:val="0"/>
                <w:color w:val="595959" w:themeColor="text1" w:themeTint="A6"/>
                <w:lang w:val="es-ES"/>
              </w:rPr>
            </w:pPr>
            <w:r>
              <w:rPr>
                <w:rFonts w:ascii="Lato" w:hAnsi="Lato" w:cs="Times New Roman"/>
                <w:b w:val="0"/>
                <w:bCs w:val="0"/>
                <w:color w:val="595959" w:themeColor="text1" w:themeTint="A6"/>
                <w:lang w:val="es-ES"/>
              </w:rPr>
              <w:t>8</w:t>
            </w:r>
            <w:r w:rsidRPr="00CC2163">
              <w:rPr>
                <w:rFonts w:ascii="Lato" w:hAnsi="Lato" w:cs="Times New Roman"/>
                <w:b w:val="0"/>
                <w:bCs w:val="0"/>
                <w:color w:val="595959" w:themeColor="text1" w:themeTint="A6"/>
                <w:lang w:val="es-ES"/>
              </w:rPr>
              <w:t>. Conservación del Sistema Arrecifal Mesoamericano (SAM)</w:t>
            </w:r>
          </w:p>
          <w:p w:rsidR="00C90843" w:rsidRDefault="00C90843" w:rsidP="00B211B4">
            <w:pPr>
              <w:rPr>
                <w:rFonts w:ascii="Lato" w:hAnsi="Lato" w:cs="Times New Roman"/>
                <w:b w:val="0"/>
                <w:bCs w:val="0"/>
                <w:color w:val="595959" w:themeColor="text1" w:themeTint="A6"/>
                <w:lang w:val="es-ES"/>
              </w:rPr>
            </w:pPr>
            <w:r>
              <w:rPr>
                <w:rFonts w:ascii="Lato" w:hAnsi="Lato" w:cs="Times New Roman"/>
                <w:b w:val="0"/>
                <w:bCs w:val="0"/>
                <w:color w:val="595959" w:themeColor="text1" w:themeTint="A6"/>
                <w:lang w:val="es-ES"/>
              </w:rPr>
              <w:t>9</w:t>
            </w:r>
            <w:r w:rsidRPr="00CC2163">
              <w:rPr>
                <w:rFonts w:ascii="Lato" w:hAnsi="Lato" w:cs="Times New Roman"/>
                <w:b w:val="0"/>
                <w:bCs w:val="0"/>
                <w:color w:val="595959" w:themeColor="text1" w:themeTint="A6"/>
                <w:lang w:val="es-ES"/>
              </w:rPr>
              <w:t>. Financiamiento de Áreas Naturales Protegidas (F</w:t>
            </w:r>
            <w:r>
              <w:rPr>
                <w:rFonts w:ascii="Lato" w:hAnsi="Lato" w:cs="Times New Roman"/>
                <w:b w:val="0"/>
                <w:bCs w:val="0"/>
                <w:color w:val="595959" w:themeColor="text1" w:themeTint="A6"/>
                <w:lang w:val="es-ES"/>
              </w:rPr>
              <w:t>inanp</w:t>
            </w:r>
            <w:r w:rsidRPr="00CC2163">
              <w:rPr>
                <w:rFonts w:ascii="Lato" w:hAnsi="Lato" w:cs="Times New Roman"/>
                <w:b w:val="0"/>
                <w:bCs w:val="0"/>
                <w:color w:val="595959" w:themeColor="text1" w:themeTint="A6"/>
                <w:lang w:val="es-ES"/>
              </w:rPr>
              <w:t>)</w:t>
            </w:r>
          </w:p>
          <w:p w:rsidR="00C90843" w:rsidRDefault="00C90843" w:rsidP="00B211B4">
            <w:pPr>
              <w:rPr>
                <w:rFonts w:ascii="Lato" w:hAnsi="Lato" w:cs="Times New Roman"/>
                <w:b w:val="0"/>
                <w:bCs w:val="0"/>
                <w:color w:val="595959" w:themeColor="text1" w:themeTint="A6"/>
                <w:lang w:val="es-ES"/>
              </w:rPr>
            </w:pPr>
            <w:r>
              <w:rPr>
                <w:rFonts w:ascii="Lato" w:hAnsi="Lato" w:cs="Times New Roman"/>
                <w:b w:val="0"/>
                <w:bCs w:val="0"/>
                <w:color w:val="595959" w:themeColor="text1" w:themeTint="A6"/>
                <w:lang w:val="es-ES"/>
              </w:rPr>
              <w:t>10</w:t>
            </w:r>
            <w:r w:rsidRPr="00CC2163">
              <w:rPr>
                <w:rFonts w:ascii="Lato" w:hAnsi="Lato" w:cs="Times New Roman"/>
                <w:b w:val="0"/>
                <w:bCs w:val="0"/>
                <w:color w:val="595959" w:themeColor="text1" w:themeTint="A6"/>
                <w:lang w:val="es-ES"/>
              </w:rPr>
              <w:t xml:space="preserve">. Cuenca </w:t>
            </w:r>
            <w:r>
              <w:rPr>
                <w:rFonts w:ascii="Lato" w:hAnsi="Lato" w:cs="Times New Roman"/>
                <w:b w:val="0"/>
                <w:bCs w:val="0"/>
                <w:color w:val="595959" w:themeColor="text1" w:themeTint="A6"/>
                <w:lang w:val="es-ES"/>
              </w:rPr>
              <w:t xml:space="preserve">de </w:t>
            </w:r>
            <w:r w:rsidRPr="00CC2163">
              <w:rPr>
                <w:rFonts w:ascii="Lato" w:hAnsi="Lato" w:cs="Times New Roman"/>
                <w:b w:val="0"/>
                <w:bCs w:val="0"/>
                <w:color w:val="595959" w:themeColor="text1" w:themeTint="A6"/>
                <w:lang w:val="es-ES"/>
              </w:rPr>
              <w:t>Los Ojos</w:t>
            </w:r>
            <w:r>
              <w:rPr>
                <w:rFonts w:ascii="Lato" w:hAnsi="Lato" w:cs="Times New Roman"/>
                <w:b w:val="0"/>
                <w:bCs w:val="0"/>
                <w:color w:val="595959" w:themeColor="text1" w:themeTint="A6"/>
                <w:lang w:val="es-ES"/>
              </w:rPr>
              <w:t xml:space="preserve"> (CLO)</w:t>
            </w:r>
          </w:p>
          <w:p w:rsidR="00C90843" w:rsidRPr="00CC2163" w:rsidRDefault="00C90843" w:rsidP="00B211B4">
            <w:pPr>
              <w:rPr>
                <w:rFonts w:ascii="Lato" w:hAnsi="Lato" w:cs="Times New Roman"/>
                <w:b w:val="0"/>
                <w:bCs w:val="0"/>
                <w:color w:val="595959" w:themeColor="text1" w:themeTint="A6"/>
                <w:lang w:val="es-ES"/>
              </w:rPr>
            </w:pPr>
            <w:r>
              <w:rPr>
                <w:rFonts w:ascii="Lato" w:hAnsi="Lato" w:cs="Times New Roman"/>
                <w:b w:val="0"/>
                <w:bCs w:val="0"/>
                <w:color w:val="595959" w:themeColor="text1" w:themeTint="A6"/>
                <w:lang w:val="es-ES"/>
              </w:rPr>
              <w:t>11</w:t>
            </w:r>
            <w:r w:rsidRPr="00CC2163">
              <w:rPr>
                <w:rFonts w:ascii="Lato" w:hAnsi="Lato" w:cs="Times New Roman"/>
                <w:b w:val="0"/>
                <w:bCs w:val="0"/>
                <w:color w:val="595959" w:themeColor="text1" w:themeTint="A6"/>
                <w:lang w:val="es-ES"/>
              </w:rPr>
              <w:t>. Rancho El Uno</w:t>
            </w:r>
            <w:r>
              <w:rPr>
                <w:rFonts w:ascii="Lato" w:hAnsi="Lato" w:cs="Times New Roman"/>
                <w:b w:val="0"/>
                <w:bCs w:val="0"/>
                <w:color w:val="595959" w:themeColor="text1" w:themeTint="A6"/>
                <w:lang w:val="es-ES"/>
              </w:rPr>
              <w:t xml:space="preserve"> (ReU)</w:t>
            </w:r>
          </w:p>
          <w:p w:rsidR="00C90843" w:rsidRPr="00CC2163" w:rsidRDefault="00C90843" w:rsidP="00B211B4">
            <w:pPr>
              <w:rPr>
                <w:rFonts w:ascii="Lato" w:hAnsi="Lato" w:cs="Times New Roman"/>
                <w:b w:val="0"/>
                <w:bCs w:val="0"/>
                <w:color w:val="595959" w:themeColor="text1" w:themeTint="A6"/>
                <w:lang w:val="es-ES"/>
              </w:rPr>
            </w:pPr>
            <w:r>
              <w:rPr>
                <w:rFonts w:ascii="Lato" w:hAnsi="Lato" w:cs="Times New Roman"/>
                <w:b w:val="0"/>
                <w:bCs w:val="0"/>
                <w:color w:val="595959" w:themeColor="text1" w:themeTint="A6"/>
                <w:lang w:val="es-ES"/>
              </w:rPr>
              <w:t>12</w:t>
            </w:r>
            <w:r w:rsidRPr="00CC2163">
              <w:rPr>
                <w:rFonts w:ascii="Lato" w:hAnsi="Lato" w:cs="Times New Roman"/>
                <w:b w:val="0"/>
                <w:bCs w:val="0"/>
                <w:color w:val="595959" w:themeColor="text1" w:themeTint="A6"/>
                <w:lang w:val="es-ES"/>
              </w:rPr>
              <w:t>. Fondo para el Manejo del Fuego y Restauración</w:t>
            </w:r>
            <w:r>
              <w:rPr>
                <w:rFonts w:ascii="Lato" w:hAnsi="Lato" w:cs="Times New Roman"/>
                <w:b w:val="0"/>
                <w:bCs w:val="0"/>
                <w:color w:val="595959" w:themeColor="text1" w:themeTint="A6"/>
                <w:lang w:val="es-ES"/>
              </w:rPr>
              <w:t xml:space="preserve"> (Fomafur)</w:t>
            </w:r>
          </w:p>
          <w:p w:rsidR="00C90843" w:rsidRDefault="00C90843" w:rsidP="00B211B4">
            <w:pPr>
              <w:rPr>
                <w:rFonts w:ascii="Lato" w:hAnsi="Lato" w:cs="Times New Roman"/>
                <w:color w:val="595959" w:themeColor="text1" w:themeTint="A6"/>
                <w:lang w:val="es-ES"/>
              </w:rPr>
            </w:pPr>
            <w:r>
              <w:rPr>
                <w:rFonts w:ascii="Lato" w:hAnsi="Lato" w:cs="Times New Roman"/>
                <w:b w:val="0"/>
                <w:bCs w:val="0"/>
                <w:color w:val="595959" w:themeColor="text1" w:themeTint="A6"/>
                <w:lang w:val="es-ES"/>
              </w:rPr>
              <w:t>13</w:t>
            </w:r>
            <w:r w:rsidRPr="00CC2163">
              <w:rPr>
                <w:rFonts w:ascii="Lato" w:hAnsi="Lato" w:cs="Times New Roman"/>
                <w:b w:val="0"/>
                <w:bCs w:val="0"/>
                <w:color w:val="595959" w:themeColor="text1" w:themeTint="A6"/>
                <w:lang w:val="es-ES"/>
              </w:rPr>
              <w:t xml:space="preserve">. Fondo Mariposa Monarca </w:t>
            </w:r>
          </w:p>
          <w:p w:rsidR="00C90843" w:rsidRPr="004C3E8D" w:rsidRDefault="00C90843" w:rsidP="00B211B4">
            <w:pPr>
              <w:rPr>
                <w:rFonts w:ascii="Lato" w:hAnsi="Lato" w:cs="Times New Roman"/>
                <w:b w:val="0"/>
                <w:bCs w:val="0"/>
                <w:color w:val="595959" w:themeColor="text1" w:themeTint="A6"/>
                <w:lang w:val="es-ES"/>
              </w:rPr>
            </w:pPr>
            <w:r>
              <w:rPr>
                <w:rFonts w:ascii="Lato" w:hAnsi="Lato" w:cs="Times New Roman"/>
                <w:b w:val="0"/>
                <w:bCs w:val="0"/>
                <w:color w:val="595959" w:themeColor="text1" w:themeTint="A6"/>
                <w:lang w:val="es-ES"/>
              </w:rPr>
              <w:t>14. Conservación y uso Sostenible en Montañas y Sierras (CoSMoS)</w:t>
            </w:r>
          </w:p>
        </w:tc>
      </w:tr>
      <w:tr w:rsidR="00C90843" w:rsidRPr="00F871C5" w:rsidTr="00B211B4">
        <w:trPr>
          <w:jc w:val="center"/>
        </w:trPr>
        <w:tc>
          <w:tcPr>
            <w:cnfStyle w:val="001000000000" w:firstRow="0" w:lastRow="0" w:firstColumn="1" w:lastColumn="0" w:oddVBand="0" w:evenVBand="0" w:oddHBand="0" w:evenHBand="0" w:firstRowFirstColumn="0" w:firstRowLastColumn="0" w:lastRowFirstColumn="0" w:lastRowLastColumn="0"/>
            <w:tcW w:w="8359" w:type="dxa"/>
            <w:shd w:val="clear" w:color="auto" w:fill="D9D9D9" w:themeFill="background1" w:themeFillShade="D9"/>
          </w:tcPr>
          <w:p w:rsidR="00C90843" w:rsidRPr="00CC2163" w:rsidRDefault="00C90843" w:rsidP="00B211B4">
            <w:pPr>
              <w:rPr>
                <w:rFonts w:ascii="Lato" w:hAnsi="Lato" w:cs="Times New Roman"/>
                <w:color w:val="595959" w:themeColor="text1" w:themeTint="A6"/>
                <w:lang w:val="es-ES"/>
              </w:rPr>
            </w:pPr>
            <w:r w:rsidRPr="00CC2163">
              <w:rPr>
                <w:rFonts w:ascii="Lato" w:hAnsi="Lato" w:cs="Times New Roman"/>
                <w:color w:val="595959" w:themeColor="text1" w:themeTint="A6"/>
                <w:lang w:val="es-ES"/>
              </w:rPr>
              <w:t>Objetivo estratégico:</w:t>
            </w:r>
            <w:r>
              <w:rPr>
                <w:rFonts w:ascii="Lato" w:hAnsi="Lato" w:cs="Times New Roman"/>
                <w:color w:val="595959" w:themeColor="text1" w:themeTint="A6"/>
                <w:lang w:val="es-ES"/>
              </w:rPr>
              <w:t xml:space="preserve"> </w:t>
            </w:r>
            <w:r w:rsidRPr="00CC2163">
              <w:rPr>
                <w:rFonts w:ascii="Lato" w:hAnsi="Lato" w:cs="Times New Roman"/>
                <w:b w:val="0"/>
                <w:bCs w:val="0"/>
                <w:color w:val="595959" w:themeColor="text1" w:themeTint="A6"/>
                <w:lang w:val="es-ES"/>
              </w:rPr>
              <w:t>Uso sustentable</w:t>
            </w:r>
          </w:p>
        </w:tc>
      </w:tr>
      <w:tr w:rsidR="00C90843" w:rsidRPr="00F871C5" w:rsidTr="00B211B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359" w:type="dxa"/>
            <w:tcBorders>
              <w:top w:val="none" w:sz="0" w:space="0" w:color="auto"/>
              <w:bottom w:val="none" w:sz="0" w:space="0" w:color="auto"/>
            </w:tcBorders>
          </w:tcPr>
          <w:p w:rsidR="00C90843" w:rsidRDefault="00C90843" w:rsidP="00B211B4">
            <w:pPr>
              <w:rPr>
                <w:rFonts w:ascii="Lato" w:hAnsi="Lato" w:cs="Times New Roman"/>
                <w:b w:val="0"/>
                <w:bCs w:val="0"/>
                <w:color w:val="595959" w:themeColor="text1" w:themeTint="A6"/>
                <w:lang w:val="es-ES"/>
              </w:rPr>
            </w:pPr>
            <w:r>
              <w:rPr>
                <w:rFonts w:ascii="Lato" w:hAnsi="Lato" w:cs="Times New Roman"/>
                <w:b w:val="0"/>
                <w:bCs w:val="0"/>
                <w:color w:val="595959" w:themeColor="text1" w:themeTint="A6"/>
                <w:lang w:val="es-ES"/>
              </w:rPr>
              <w:t>15</w:t>
            </w:r>
            <w:r w:rsidRPr="00CC2163">
              <w:rPr>
                <w:rFonts w:ascii="Lato" w:hAnsi="Lato" w:cs="Times New Roman"/>
                <w:b w:val="0"/>
                <w:bCs w:val="0"/>
                <w:color w:val="595959" w:themeColor="text1" w:themeTint="A6"/>
                <w:lang w:val="es-ES"/>
              </w:rPr>
              <w:t>. Conservación de Cuencas Costeras en el Contexto de Cambio Climático</w:t>
            </w:r>
            <w:r>
              <w:rPr>
                <w:rFonts w:ascii="Lato" w:hAnsi="Lato" w:cs="Times New Roman"/>
                <w:b w:val="0"/>
                <w:bCs w:val="0"/>
                <w:color w:val="595959" w:themeColor="text1" w:themeTint="A6"/>
                <w:lang w:val="es-ES"/>
              </w:rPr>
              <w:t xml:space="preserve"> (C6)</w:t>
            </w:r>
          </w:p>
          <w:p w:rsidR="00C90843" w:rsidRPr="00CC2163" w:rsidRDefault="00C90843" w:rsidP="00B211B4">
            <w:pPr>
              <w:rPr>
                <w:rFonts w:ascii="Lato" w:hAnsi="Lato" w:cs="Times New Roman"/>
                <w:b w:val="0"/>
                <w:bCs w:val="0"/>
                <w:color w:val="595959" w:themeColor="text1" w:themeTint="A6"/>
                <w:lang w:val="es-ES"/>
              </w:rPr>
            </w:pPr>
            <w:r>
              <w:rPr>
                <w:rFonts w:ascii="Lato" w:hAnsi="Lato" w:cs="Times New Roman"/>
                <w:b w:val="0"/>
                <w:bCs w:val="0"/>
                <w:color w:val="595959" w:themeColor="text1" w:themeTint="A6"/>
                <w:lang w:val="es-ES"/>
              </w:rPr>
              <w:t>16</w:t>
            </w:r>
            <w:r w:rsidRPr="00CC2163">
              <w:rPr>
                <w:rFonts w:ascii="Lato" w:hAnsi="Lato" w:cs="Times New Roman"/>
                <w:b w:val="0"/>
                <w:bCs w:val="0"/>
                <w:color w:val="595959" w:themeColor="text1" w:themeTint="A6"/>
                <w:lang w:val="es-ES"/>
              </w:rPr>
              <w:t xml:space="preserve">. </w:t>
            </w:r>
            <w:r>
              <w:rPr>
                <w:rFonts w:ascii="Lato" w:hAnsi="Lato" w:cs="Times New Roman"/>
                <w:b w:val="0"/>
                <w:bCs w:val="0"/>
                <w:color w:val="595959" w:themeColor="text1" w:themeTint="A6"/>
                <w:lang w:val="es-ES"/>
              </w:rPr>
              <w:t>Conectando la salud de las cuencas con la producción ganadera y agroforestal sostenible (</w:t>
            </w:r>
            <w:r w:rsidRPr="00CC2163">
              <w:rPr>
                <w:rFonts w:ascii="Lato" w:hAnsi="Lato" w:cs="Times New Roman"/>
                <w:b w:val="0"/>
                <w:bCs w:val="0"/>
                <w:color w:val="595959" w:themeColor="text1" w:themeTint="A6"/>
                <w:lang w:val="es-ES"/>
              </w:rPr>
              <w:t>CONECTA</w:t>
            </w:r>
            <w:r>
              <w:rPr>
                <w:rFonts w:ascii="Lato" w:hAnsi="Lato" w:cs="Times New Roman"/>
                <w:b w:val="0"/>
                <w:bCs w:val="0"/>
                <w:color w:val="595959" w:themeColor="text1" w:themeTint="A6"/>
                <w:lang w:val="es-ES"/>
              </w:rPr>
              <w:t>)</w:t>
            </w:r>
          </w:p>
          <w:p w:rsidR="00C90843" w:rsidRPr="00CC2163" w:rsidRDefault="00C90843" w:rsidP="00B211B4">
            <w:pPr>
              <w:rPr>
                <w:rFonts w:ascii="Lato" w:hAnsi="Lato" w:cs="Times New Roman"/>
                <w:b w:val="0"/>
                <w:bCs w:val="0"/>
                <w:color w:val="595959" w:themeColor="text1" w:themeTint="A6"/>
                <w:lang w:val="es-ES"/>
              </w:rPr>
            </w:pPr>
            <w:r w:rsidRPr="00CC2163">
              <w:rPr>
                <w:rFonts w:ascii="Lato" w:hAnsi="Lato" w:cs="Times New Roman"/>
                <w:b w:val="0"/>
                <w:bCs w:val="0"/>
                <w:color w:val="595959" w:themeColor="text1" w:themeTint="A6"/>
                <w:lang w:val="es-ES"/>
              </w:rPr>
              <w:t>1</w:t>
            </w:r>
            <w:r>
              <w:rPr>
                <w:rFonts w:ascii="Lato" w:hAnsi="Lato" w:cs="Times New Roman"/>
                <w:b w:val="0"/>
                <w:bCs w:val="0"/>
                <w:color w:val="595959" w:themeColor="text1" w:themeTint="A6"/>
                <w:lang w:val="es-ES"/>
              </w:rPr>
              <w:t>7</w:t>
            </w:r>
            <w:r w:rsidRPr="00CC2163">
              <w:rPr>
                <w:rFonts w:ascii="Lato" w:hAnsi="Lato" w:cs="Times New Roman"/>
                <w:b w:val="0"/>
                <w:bCs w:val="0"/>
                <w:color w:val="595959" w:themeColor="text1" w:themeTint="A6"/>
                <w:lang w:val="es-ES"/>
              </w:rPr>
              <w:t xml:space="preserve">. </w:t>
            </w:r>
            <w:r>
              <w:rPr>
                <w:rFonts w:ascii="Lato" w:hAnsi="Lato" w:cs="Times New Roman"/>
                <w:b w:val="0"/>
                <w:bCs w:val="0"/>
                <w:color w:val="595959" w:themeColor="text1" w:themeTint="A6"/>
                <w:lang w:val="es-ES"/>
              </w:rPr>
              <w:t>Restauración de ríos para la adaptación al cambio climático (</w:t>
            </w:r>
            <w:r w:rsidRPr="00CC2163">
              <w:rPr>
                <w:rFonts w:ascii="Lato" w:hAnsi="Lato" w:cs="Times New Roman"/>
                <w:b w:val="0"/>
                <w:bCs w:val="0"/>
                <w:color w:val="595959" w:themeColor="text1" w:themeTint="A6"/>
                <w:lang w:val="es-ES"/>
              </w:rPr>
              <w:t>RÍOS</w:t>
            </w:r>
            <w:r>
              <w:rPr>
                <w:rFonts w:ascii="Lato" w:hAnsi="Lato" w:cs="Times New Roman"/>
                <w:b w:val="0"/>
                <w:bCs w:val="0"/>
                <w:color w:val="595959" w:themeColor="text1" w:themeTint="A6"/>
                <w:lang w:val="es-ES"/>
              </w:rPr>
              <w:t>)</w:t>
            </w:r>
          </w:p>
          <w:p w:rsidR="00C90843" w:rsidRPr="00CC2163" w:rsidRDefault="00C90843" w:rsidP="00B211B4">
            <w:pPr>
              <w:rPr>
                <w:rFonts w:ascii="Lato" w:hAnsi="Lato" w:cs="Times New Roman"/>
                <w:b w:val="0"/>
                <w:bCs w:val="0"/>
                <w:color w:val="595959" w:themeColor="text1" w:themeTint="A6"/>
                <w:lang w:val="es-ES"/>
              </w:rPr>
            </w:pPr>
            <w:r w:rsidRPr="00CC2163">
              <w:rPr>
                <w:rFonts w:ascii="Lato" w:hAnsi="Lato" w:cs="Times New Roman"/>
                <w:b w:val="0"/>
                <w:bCs w:val="0"/>
                <w:color w:val="595959" w:themeColor="text1" w:themeTint="A6"/>
                <w:lang w:val="es-ES"/>
              </w:rPr>
              <w:t>1</w:t>
            </w:r>
            <w:r>
              <w:rPr>
                <w:rFonts w:ascii="Lato" w:hAnsi="Lato" w:cs="Times New Roman"/>
                <w:b w:val="0"/>
                <w:bCs w:val="0"/>
                <w:color w:val="595959" w:themeColor="text1" w:themeTint="A6"/>
                <w:lang w:val="es-ES"/>
              </w:rPr>
              <w:t>8</w:t>
            </w:r>
            <w:r w:rsidRPr="00CC2163">
              <w:rPr>
                <w:rFonts w:ascii="Lato" w:hAnsi="Lato" w:cs="Times New Roman"/>
                <w:b w:val="0"/>
                <w:bCs w:val="0"/>
                <w:color w:val="595959" w:themeColor="text1" w:themeTint="A6"/>
                <w:lang w:val="es-ES"/>
              </w:rPr>
              <w:t>. Fondo Jorge de Alba</w:t>
            </w:r>
          </w:p>
          <w:p w:rsidR="00C90843" w:rsidRPr="00081ABA" w:rsidRDefault="00C90843" w:rsidP="00B211B4">
            <w:pPr>
              <w:rPr>
                <w:rFonts w:ascii="Lato" w:hAnsi="Lato" w:cs="Times New Roman"/>
                <w:color w:val="595959" w:themeColor="text1" w:themeTint="A6"/>
                <w:lang w:val="es-ES"/>
              </w:rPr>
            </w:pPr>
            <w:r>
              <w:rPr>
                <w:rFonts w:ascii="Lato" w:hAnsi="Lato" w:cs="Times New Roman"/>
                <w:b w:val="0"/>
                <w:bCs w:val="0"/>
                <w:color w:val="595959" w:themeColor="text1" w:themeTint="A6"/>
                <w:lang w:val="es-ES"/>
              </w:rPr>
              <w:t>19</w:t>
            </w:r>
            <w:r w:rsidRPr="00CC2163">
              <w:rPr>
                <w:rFonts w:ascii="Lato" w:hAnsi="Lato" w:cs="Times New Roman"/>
                <w:b w:val="0"/>
                <w:bCs w:val="0"/>
                <w:color w:val="595959" w:themeColor="text1" w:themeTint="A6"/>
                <w:lang w:val="es-ES"/>
              </w:rPr>
              <w:t>. Cuencas y Ciudades</w:t>
            </w:r>
          </w:p>
        </w:tc>
      </w:tr>
      <w:tr w:rsidR="00C90843" w:rsidRPr="00F871C5" w:rsidTr="00B211B4">
        <w:trPr>
          <w:jc w:val="center"/>
        </w:trPr>
        <w:tc>
          <w:tcPr>
            <w:cnfStyle w:val="001000000000" w:firstRow="0" w:lastRow="0" w:firstColumn="1" w:lastColumn="0" w:oddVBand="0" w:evenVBand="0" w:oddHBand="0" w:evenHBand="0" w:firstRowFirstColumn="0" w:firstRowLastColumn="0" w:lastRowFirstColumn="0" w:lastRowLastColumn="0"/>
            <w:tcW w:w="8359" w:type="dxa"/>
            <w:shd w:val="clear" w:color="auto" w:fill="D9D9D9" w:themeFill="background1" w:themeFillShade="D9"/>
          </w:tcPr>
          <w:p w:rsidR="00C90843" w:rsidRPr="00CC2163" w:rsidRDefault="00C90843" w:rsidP="00B211B4">
            <w:pPr>
              <w:rPr>
                <w:rFonts w:ascii="Lato" w:hAnsi="Lato" w:cs="Times New Roman"/>
                <w:color w:val="595959" w:themeColor="text1" w:themeTint="A6"/>
                <w:lang w:val="es-ES"/>
              </w:rPr>
            </w:pPr>
            <w:r w:rsidRPr="00F871C5">
              <w:rPr>
                <w:rFonts w:ascii="Lato" w:hAnsi="Lato" w:cs="Times New Roman"/>
                <w:color w:val="595959" w:themeColor="text1" w:themeTint="A6"/>
                <w:lang w:val="es-ES"/>
              </w:rPr>
              <w:lastRenderedPageBreak/>
              <w:t>Objetivo estratégico:</w:t>
            </w:r>
            <w:r>
              <w:rPr>
                <w:rFonts w:ascii="Lato" w:hAnsi="Lato" w:cs="Times New Roman"/>
                <w:color w:val="595959" w:themeColor="text1" w:themeTint="A6"/>
                <w:lang w:val="es-ES"/>
              </w:rPr>
              <w:t xml:space="preserve"> </w:t>
            </w:r>
            <w:r w:rsidRPr="00CC2163">
              <w:rPr>
                <w:rFonts w:ascii="Lato" w:hAnsi="Lato" w:cs="Times New Roman"/>
                <w:b w:val="0"/>
                <w:bCs w:val="0"/>
                <w:color w:val="595959" w:themeColor="text1" w:themeTint="A6"/>
                <w:lang w:val="es-ES"/>
              </w:rPr>
              <w:t>Desarrollo de Capacidades</w:t>
            </w:r>
          </w:p>
        </w:tc>
      </w:tr>
      <w:tr w:rsidR="00C90843" w:rsidRPr="00F871C5" w:rsidTr="00B211B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359" w:type="dxa"/>
            <w:tcBorders>
              <w:top w:val="none" w:sz="0" w:space="0" w:color="auto"/>
              <w:bottom w:val="none" w:sz="0" w:space="0" w:color="auto"/>
            </w:tcBorders>
          </w:tcPr>
          <w:p w:rsidR="00C90843" w:rsidRPr="00CC2163" w:rsidRDefault="00C90843" w:rsidP="00B211B4">
            <w:pPr>
              <w:rPr>
                <w:rFonts w:ascii="Lato" w:hAnsi="Lato" w:cs="Times New Roman"/>
                <w:b w:val="0"/>
                <w:bCs w:val="0"/>
                <w:color w:val="595959" w:themeColor="text1" w:themeTint="A6"/>
                <w:lang w:val="es-ES"/>
              </w:rPr>
            </w:pPr>
            <w:r w:rsidRPr="00CC2163">
              <w:rPr>
                <w:rFonts w:ascii="Lato" w:hAnsi="Lato" w:cs="Times New Roman"/>
                <w:b w:val="0"/>
                <w:bCs w:val="0"/>
                <w:color w:val="595959" w:themeColor="text1" w:themeTint="A6"/>
                <w:lang w:val="es-ES"/>
              </w:rPr>
              <w:t>2</w:t>
            </w:r>
            <w:r>
              <w:rPr>
                <w:rFonts w:ascii="Lato" w:hAnsi="Lato" w:cs="Times New Roman"/>
                <w:b w:val="0"/>
                <w:bCs w:val="0"/>
                <w:color w:val="595959" w:themeColor="text1" w:themeTint="A6"/>
                <w:lang w:val="es-ES"/>
              </w:rPr>
              <w:t>0</w:t>
            </w:r>
            <w:r w:rsidRPr="00CC2163">
              <w:rPr>
                <w:rFonts w:ascii="Lato" w:hAnsi="Lato" w:cs="Times New Roman"/>
                <w:b w:val="0"/>
                <w:bCs w:val="0"/>
                <w:color w:val="595959" w:themeColor="text1" w:themeTint="A6"/>
                <w:lang w:val="es-ES"/>
              </w:rPr>
              <w:t>. Alianza Kanan Kay</w:t>
            </w:r>
            <w:r>
              <w:rPr>
                <w:rFonts w:ascii="Lato" w:hAnsi="Lato" w:cs="Times New Roman"/>
                <w:b w:val="0"/>
                <w:bCs w:val="0"/>
                <w:color w:val="595959" w:themeColor="text1" w:themeTint="A6"/>
                <w:lang w:val="es-ES"/>
              </w:rPr>
              <w:t xml:space="preserve"> (AKK)</w:t>
            </w:r>
          </w:p>
          <w:p w:rsidR="00C90843" w:rsidRPr="00CC2163" w:rsidRDefault="00C90843" w:rsidP="00B211B4">
            <w:pPr>
              <w:rPr>
                <w:rFonts w:ascii="Lato" w:hAnsi="Lato" w:cs="Times New Roman"/>
                <w:b w:val="0"/>
                <w:bCs w:val="0"/>
                <w:color w:val="595959" w:themeColor="text1" w:themeTint="A6"/>
                <w:lang w:val="es-ES"/>
              </w:rPr>
            </w:pPr>
            <w:r w:rsidRPr="00CC2163">
              <w:rPr>
                <w:rFonts w:ascii="Lato" w:hAnsi="Lato" w:cs="Times New Roman"/>
                <w:b w:val="0"/>
                <w:bCs w:val="0"/>
                <w:color w:val="595959" w:themeColor="text1" w:themeTint="A6"/>
                <w:lang w:val="es-ES"/>
              </w:rPr>
              <w:t>2</w:t>
            </w:r>
            <w:r>
              <w:rPr>
                <w:rFonts w:ascii="Lato" w:hAnsi="Lato" w:cs="Times New Roman"/>
                <w:b w:val="0"/>
                <w:bCs w:val="0"/>
                <w:color w:val="595959" w:themeColor="text1" w:themeTint="A6"/>
                <w:lang w:val="es-ES"/>
              </w:rPr>
              <w:t>1</w:t>
            </w:r>
            <w:r w:rsidRPr="00CC2163">
              <w:rPr>
                <w:rFonts w:ascii="Lato" w:hAnsi="Lato" w:cs="Times New Roman"/>
                <w:b w:val="0"/>
                <w:bCs w:val="0"/>
                <w:color w:val="595959" w:themeColor="text1" w:themeTint="A6"/>
                <w:lang w:val="es-ES"/>
              </w:rPr>
              <w:t>. Kaanbal Suut</w:t>
            </w:r>
          </w:p>
          <w:p w:rsidR="00C90843" w:rsidRPr="00D72BE4" w:rsidRDefault="00C90843" w:rsidP="00B211B4">
            <w:pPr>
              <w:rPr>
                <w:rFonts w:ascii="Lato" w:hAnsi="Lato" w:cs="Times New Roman"/>
                <w:b w:val="0"/>
                <w:bCs w:val="0"/>
                <w:color w:val="595959" w:themeColor="text1" w:themeTint="A6"/>
                <w:lang w:val="es-ES"/>
              </w:rPr>
            </w:pPr>
            <w:r w:rsidRPr="00CC2163">
              <w:rPr>
                <w:rFonts w:ascii="Lato" w:hAnsi="Lato" w:cs="Times New Roman"/>
                <w:b w:val="0"/>
                <w:bCs w:val="0"/>
                <w:color w:val="595959" w:themeColor="text1" w:themeTint="A6"/>
                <w:lang w:val="es-ES"/>
              </w:rPr>
              <w:t>2</w:t>
            </w:r>
            <w:r>
              <w:rPr>
                <w:rFonts w:ascii="Lato" w:hAnsi="Lato" w:cs="Times New Roman"/>
                <w:b w:val="0"/>
                <w:bCs w:val="0"/>
                <w:color w:val="595959" w:themeColor="text1" w:themeTint="A6"/>
                <w:lang w:val="es-ES"/>
              </w:rPr>
              <w:t>2</w:t>
            </w:r>
            <w:r w:rsidRPr="00CC2163">
              <w:rPr>
                <w:rFonts w:ascii="Lato" w:hAnsi="Lato" w:cs="Times New Roman"/>
                <w:b w:val="0"/>
                <w:bCs w:val="0"/>
                <w:color w:val="595959" w:themeColor="text1" w:themeTint="A6"/>
                <w:lang w:val="es-ES"/>
              </w:rPr>
              <w:t>. Liderazgo en el Sistema Arrecifal Mesoamericano</w:t>
            </w:r>
            <w:r>
              <w:rPr>
                <w:rFonts w:ascii="Lato" w:hAnsi="Lato" w:cs="Times New Roman"/>
                <w:b w:val="0"/>
                <w:bCs w:val="0"/>
                <w:color w:val="595959" w:themeColor="text1" w:themeTint="A6"/>
                <w:lang w:val="es-ES"/>
              </w:rPr>
              <w:t xml:space="preserve"> (L-SAM)</w:t>
            </w:r>
          </w:p>
        </w:tc>
      </w:tr>
    </w:tbl>
    <w:p w:rsidR="00C90843" w:rsidRPr="00772301" w:rsidRDefault="00C90843" w:rsidP="00C90843"/>
    <w:p w:rsidR="00C90843" w:rsidRDefault="00C90843" w:rsidP="00C90843">
      <w:pPr>
        <w:pStyle w:val="Ttulo1"/>
        <w:rPr>
          <w:rFonts w:ascii="Lato" w:hAnsi="Lato"/>
          <w:color w:val="595959" w:themeColor="text1" w:themeTint="A6"/>
          <w:sz w:val="22"/>
          <w:szCs w:val="22"/>
          <w:lang w:val="es-ES"/>
        </w:rPr>
      </w:pPr>
      <w:bookmarkStart w:id="4" w:name="_Toc95218406"/>
      <w:bookmarkStart w:id="5" w:name="_Toc159420254"/>
      <w:r>
        <w:rPr>
          <w:rFonts w:ascii="Lato" w:hAnsi="Lato"/>
          <w:color w:val="595959" w:themeColor="text1" w:themeTint="A6"/>
          <w:sz w:val="22"/>
          <w:szCs w:val="22"/>
          <w:lang w:val="es-ES"/>
        </w:rPr>
        <w:t>A1.</w:t>
      </w:r>
      <w:r w:rsidRPr="001D3E98">
        <w:rPr>
          <w:rFonts w:ascii="Lato" w:hAnsi="Lato"/>
          <w:color w:val="595959" w:themeColor="text1" w:themeTint="A6"/>
          <w:sz w:val="22"/>
          <w:szCs w:val="22"/>
          <w:lang w:val="es-ES"/>
        </w:rPr>
        <w:t>1. Fondo para Áreas Naturales Protegidas</w:t>
      </w:r>
      <w:bookmarkEnd w:id="3"/>
      <w:r w:rsidRPr="001D3E98">
        <w:rPr>
          <w:rFonts w:ascii="Lato" w:hAnsi="Lato"/>
          <w:color w:val="595959" w:themeColor="text1" w:themeTint="A6"/>
          <w:sz w:val="22"/>
          <w:szCs w:val="22"/>
          <w:lang w:val="es-ES"/>
        </w:rPr>
        <w:t xml:space="preserve"> (FANP)</w:t>
      </w:r>
      <w:bookmarkEnd w:id="4"/>
      <w:bookmarkEnd w:id="5"/>
    </w:p>
    <w:p w:rsidR="00C90843" w:rsidRPr="000330B9" w:rsidRDefault="00C90843" w:rsidP="00C90843">
      <w:pPr>
        <w:rPr>
          <w:lang w:val="es-ES"/>
        </w:rPr>
      </w:pPr>
    </w:p>
    <w:p w:rsidR="00C90843" w:rsidRPr="001F4FF6"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sidRPr="001F4FF6">
        <w:rPr>
          <w:rFonts w:ascii="Lato" w:hAnsi="Lato"/>
          <w:color w:val="595959" w:themeColor="text1" w:themeTint="A6"/>
          <w:sz w:val="22"/>
          <w:szCs w:val="22"/>
          <w:lang w:val="es-ES"/>
        </w:rPr>
        <w:t>Los recursos patrimoniales del FANP se invierten de acuerdo a la Política de Inversión y Gasto establecida por el Comité de Inversiones (CI) de FMCN</w:t>
      </w:r>
      <w:r>
        <w:rPr>
          <w:rFonts w:ascii="Lato" w:hAnsi="Lato"/>
          <w:color w:val="595959" w:themeColor="text1" w:themeTint="A6"/>
          <w:sz w:val="22"/>
          <w:szCs w:val="22"/>
          <w:lang w:val="es-ES"/>
        </w:rPr>
        <w:t xml:space="preserve"> y su ejercicio es supervisado por el Comité Técnico del FANP</w:t>
      </w:r>
      <w:r w:rsidRPr="001F4FF6">
        <w:rPr>
          <w:rFonts w:ascii="Lato" w:hAnsi="Lato"/>
          <w:color w:val="595959" w:themeColor="text1" w:themeTint="A6"/>
          <w:sz w:val="22"/>
          <w:szCs w:val="22"/>
          <w:lang w:val="es-ES"/>
        </w:rPr>
        <w:t>.</w:t>
      </w:r>
      <w:r>
        <w:rPr>
          <w:rFonts w:ascii="Lato" w:hAnsi="Lato"/>
          <w:color w:val="595959" w:themeColor="text1" w:themeTint="A6"/>
          <w:sz w:val="22"/>
          <w:szCs w:val="22"/>
          <w:lang w:val="es-ES"/>
        </w:rPr>
        <w:t xml:space="preserve"> Es responsabilidad del CTFANP asegurar que el presupuesto canalizado a través de POA para cada una de las ANP beneficiarias del FANP, se mantenga o aumente respecto del presupuesto asignado en el año inmediato anterior, siempre que exista disponibilidad de recursos. </w:t>
      </w:r>
      <w:r w:rsidRPr="001F4FF6">
        <w:rPr>
          <w:rFonts w:ascii="Lato" w:hAnsi="Lato"/>
          <w:color w:val="595959" w:themeColor="text1" w:themeTint="A6"/>
          <w:sz w:val="22"/>
          <w:szCs w:val="22"/>
          <w:lang w:val="es-ES"/>
        </w:rPr>
        <w:t>Los rendimientos anuales netos del capital se aplican de la siguiente manera:</w:t>
      </w:r>
    </w:p>
    <w:p w:rsidR="00C90843" w:rsidRPr="001F4FF6" w:rsidRDefault="00C90843" w:rsidP="00387388">
      <w:pPr>
        <w:pStyle w:val="Prrafodelista"/>
        <w:keepLines/>
        <w:numPr>
          <w:ilvl w:val="0"/>
          <w:numId w:val="3"/>
        </w:numPr>
        <w:spacing w:beforeLines="24" w:before="57" w:afterLines="24" w:after="57" w:line="288" w:lineRule="auto"/>
        <w:jc w:val="both"/>
        <w:rPr>
          <w:rFonts w:ascii="Lato" w:hAnsi="Lato"/>
          <w:color w:val="595959" w:themeColor="text1" w:themeTint="A6"/>
          <w:lang w:val="es-ES"/>
        </w:rPr>
      </w:pPr>
      <w:r w:rsidRPr="001F4FF6">
        <w:rPr>
          <w:rFonts w:ascii="Lato" w:hAnsi="Lato"/>
          <w:color w:val="595959" w:themeColor="text1" w:themeTint="A6"/>
          <w:lang w:val="es-ES"/>
        </w:rPr>
        <w:t>79% para recursos canalizados a campo (incluyendo los costos de administración de dichos recursos).</w:t>
      </w:r>
    </w:p>
    <w:p w:rsidR="00C90843" w:rsidRPr="001F4FF6" w:rsidRDefault="00C90843" w:rsidP="00387388">
      <w:pPr>
        <w:pStyle w:val="Prrafodelista"/>
        <w:keepLines/>
        <w:numPr>
          <w:ilvl w:val="0"/>
          <w:numId w:val="3"/>
        </w:numPr>
        <w:spacing w:beforeLines="24" w:before="57" w:afterLines="24" w:after="57" w:line="288" w:lineRule="auto"/>
        <w:jc w:val="both"/>
        <w:rPr>
          <w:rFonts w:ascii="Lato" w:hAnsi="Lato"/>
          <w:color w:val="595959" w:themeColor="text1" w:themeTint="A6"/>
          <w:lang w:val="es-ES"/>
        </w:rPr>
      </w:pPr>
      <w:r w:rsidRPr="001F4FF6">
        <w:rPr>
          <w:rFonts w:ascii="Lato" w:hAnsi="Lato"/>
          <w:color w:val="595959" w:themeColor="text1" w:themeTint="A6"/>
          <w:lang w:val="es-ES"/>
        </w:rPr>
        <w:t>12% para la administración del FANP.</w:t>
      </w:r>
    </w:p>
    <w:p w:rsidR="00C90843" w:rsidRDefault="00C90843" w:rsidP="00387388">
      <w:pPr>
        <w:pStyle w:val="Prrafodelista"/>
        <w:keepLines/>
        <w:numPr>
          <w:ilvl w:val="0"/>
          <w:numId w:val="3"/>
        </w:numPr>
        <w:spacing w:beforeLines="24" w:before="57" w:afterLines="24" w:after="57" w:line="288" w:lineRule="auto"/>
        <w:jc w:val="both"/>
        <w:rPr>
          <w:rFonts w:ascii="Lato" w:hAnsi="Lato"/>
          <w:color w:val="595959" w:themeColor="text1" w:themeTint="A6"/>
          <w:lang w:val="es-ES"/>
        </w:rPr>
      </w:pPr>
      <w:r w:rsidRPr="001F4FF6">
        <w:rPr>
          <w:rFonts w:ascii="Lato" w:hAnsi="Lato"/>
          <w:color w:val="595959" w:themeColor="text1" w:themeTint="A6"/>
          <w:lang w:val="es-ES"/>
        </w:rPr>
        <w:t>9% para monitoreo y gestión.</w:t>
      </w:r>
    </w:p>
    <w:p w:rsidR="00C90843" w:rsidRPr="005623EC" w:rsidRDefault="00C90843" w:rsidP="00C90843">
      <w:pPr>
        <w:rPr>
          <w:rFonts w:ascii="Lato" w:hAnsi="Lato"/>
          <w:color w:val="595959" w:themeColor="text1" w:themeTint="A6"/>
          <w:sz w:val="22"/>
          <w:szCs w:val="22"/>
          <w:lang w:val="es-ES"/>
        </w:rPr>
      </w:pPr>
    </w:p>
    <w:p w:rsidR="00C90843" w:rsidRPr="005623EC" w:rsidRDefault="00C90843" w:rsidP="00C90843">
      <w:pPr>
        <w:rPr>
          <w:rFonts w:ascii="Lato" w:hAnsi="Lato"/>
          <w:b/>
          <w:color w:val="595959" w:themeColor="text1" w:themeTint="A6"/>
          <w:sz w:val="22"/>
          <w:szCs w:val="22"/>
          <w:lang w:val="es-ES"/>
        </w:rPr>
      </w:pPr>
      <w:bookmarkStart w:id="6" w:name="_Toc61884149"/>
      <w:bookmarkStart w:id="7" w:name="_Toc95218407"/>
      <w:r>
        <w:rPr>
          <w:rFonts w:ascii="Lato" w:hAnsi="Lato"/>
          <w:b/>
          <w:color w:val="595959" w:themeColor="text1" w:themeTint="A6"/>
          <w:sz w:val="22"/>
          <w:szCs w:val="22"/>
          <w:lang w:val="es-ES"/>
        </w:rPr>
        <w:t>A1.</w:t>
      </w:r>
      <w:r w:rsidRPr="005623EC">
        <w:rPr>
          <w:rFonts w:ascii="Lato" w:hAnsi="Lato"/>
          <w:b/>
          <w:color w:val="595959" w:themeColor="text1" w:themeTint="A6"/>
          <w:sz w:val="22"/>
          <w:szCs w:val="22"/>
          <w:lang w:val="es-ES"/>
        </w:rPr>
        <w:t>1.1. Distribución de recursos canalizados a campo</w:t>
      </w:r>
      <w:bookmarkEnd w:id="6"/>
      <w:bookmarkEnd w:id="7"/>
    </w:p>
    <w:p w:rsidR="00C90843" w:rsidRPr="005623EC" w:rsidRDefault="00C90843" w:rsidP="00C90843">
      <w:pPr>
        <w:rPr>
          <w:rFonts w:ascii="Lato" w:hAnsi="Lato"/>
          <w:color w:val="595959" w:themeColor="text1" w:themeTint="A6"/>
          <w:sz w:val="22"/>
          <w:szCs w:val="22"/>
          <w:lang w:val="es-ES"/>
        </w:rPr>
      </w:pPr>
    </w:p>
    <w:p w:rsidR="00C90843" w:rsidRPr="001F4FF6"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sidRPr="001F4FF6">
        <w:rPr>
          <w:rFonts w:ascii="Lato" w:hAnsi="Lato"/>
          <w:color w:val="595959" w:themeColor="text1" w:themeTint="A6"/>
          <w:sz w:val="22"/>
          <w:szCs w:val="22"/>
          <w:lang w:val="es-ES"/>
        </w:rPr>
        <w:t>Los recursos</w:t>
      </w:r>
      <w:r>
        <w:rPr>
          <w:rFonts w:ascii="Lato" w:hAnsi="Lato"/>
          <w:color w:val="595959" w:themeColor="text1" w:themeTint="A6"/>
          <w:sz w:val="22"/>
          <w:szCs w:val="22"/>
          <w:lang w:val="es-ES"/>
        </w:rPr>
        <w:t xml:space="preserve"> patrimoniales</w:t>
      </w:r>
      <w:r w:rsidRPr="001F4FF6">
        <w:rPr>
          <w:rFonts w:ascii="Lato" w:hAnsi="Lato"/>
          <w:color w:val="595959" w:themeColor="text1" w:themeTint="A6"/>
          <w:sz w:val="22"/>
          <w:szCs w:val="22"/>
          <w:lang w:val="es-ES"/>
        </w:rPr>
        <w:t xml:space="preserve"> del FANP son canalizados a campo en tres niveles: Nacional, ANP y Fondo de Emergencias conforme a los porcentajes indicados en el Cuadro 1.</w:t>
      </w:r>
    </w:p>
    <w:p w:rsidR="00C90843" w:rsidRPr="001F4FF6" w:rsidRDefault="00C90843" w:rsidP="00C90843">
      <w:pPr>
        <w:keepLines/>
        <w:spacing w:beforeLines="120" w:before="288" w:afterLines="120" w:after="288" w:line="288" w:lineRule="auto"/>
        <w:jc w:val="center"/>
        <w:rPr>
          <w:rFonts w:ascii="Lato" w:hAnsi="Lato"/>
          <w:color w:val="595959" w:themeColor="text1" w:themeTint="A6"/>
          <w:sz w:val="22"/>
          <w:szCs w:val="22"/>
          <w:lang w:val="es-ES"/>
        </w:rPr>
      </w:pPr>
      <w:r w:rsidRPr="001F4FF6">
        <w:rPr>
          <w:rFonts w:ascii="Lato" w:hAnsi="Lato"/>
          <w:color w:val="595959" w:themeColor="text1" w:themeTint="A6"/>
          <w:sz w:val="22"/>
          <w:szCs w:val="22"/>
          <w:lang w:val="es-ES"/>
        </w:rPr>
        <w:t>Cuadro 1. Porcentajes de distribución de recursos.</w:t>
      </w:r>
    </w:p>
    <w:tbl>
      <w:tblPr>
        <w:tblW w:w="3680" w:type="dxa"/>
        <w:jc w:val="center"/>
        <w:tblBorders>
          <w:insideH w:val="single" w:sz="4" w:space="0" w:color="595959" w:themeColor="text1" w:themeTint="A6"/>
        </w:tblBorders>
        <w:tblCellMar>
          <w:left w:w="70" w:type="dxa"/>
          <w:right w:w="70" w:type="dxa"/>
        </w:tblCellMar>
        <w:tblLook w:val="04A0" w:firstRow="1" w:lastRow="0" w:firstColumn="1" w:lastColumn="0" w:noHBand="0" w:noVBand="1"/>
      </w:tblPr>
      <w:tblGrid>
        <w:gridCol w:w="2439"/>
        <w:gridCol w:w="1241"/>
      </w:tblGrid>
      <w:tr w:rsidR="00C90843" w:rsidRPr="001F4FF6" w:rsidTr="00B211B4">
        <w:trPr>
          <w:trHeight w:val="300"/>
          <w:jc w:val="center"/>
        </w:trPr>
        <w:tc>
          <w:tcPr>
            <w:tcW w:w="2440" w:type="dxa"/>
            <w:shd w:val="clear" w:color="auto" w:fill="D0CECE" w:themeFill="background2" w:themeFillShade="E6"/>
            <w:vAlign w:val="center"/>
            <w:hideMark/>
          </w:tcPr>
          <w:p w:rsidR="00C90843" w:rsidRPr="001F4FF6" w:rsidRDefault="00C90843" w:rsidP="00B211B4">
            <w:pPr>
              <w:rPr>
                <w:rFonts w:ascii="Lato" w:eastAsia="Times New Roman" w:hAnsi="Lato" w:cs="Times New Roman"/>
                <w:b/>
                <w:bCs/>
                <w:color w:val="595959" w:themeColor="text1" w:themeTint="A6"/>
                <w:sz w:val="22"/>
                <w:szCs w:val="22"/>
                <w:lang w:val="es-ES" w:eastAsia="es-MX"/>
              </w:rPr>
            </w:pPr>
            <w:r w:rsidRPr="001F4FF6">
              <w:rPr>
                <w:rFonts w:ascii="Lato" w:eastAsia="Times New Roman" w:hAnsi="Lato" w:cs="Times New Roman"/>
                <w:b/>
                <w:bCs/>
                <w:color w:val="595959" w:themeColor="text1" w:themeTint="A6"/>
                <w:sz w:val="22"/>
                <w:szCs w:val="22"/>
                <w:lang w:val="es-ES" w:eastAsia="es-MX"/>
              </w:rPr>
              <w:t>Nivel</w:t>
            </w:r>
          </w:p>
        </w:tc>
        <w:tc>
          <w:tcPr>
            <w:tcW w:w="1240" w:type="dxa"/>
            <w:shd w:val="clear" w:color="auto" w:fill="D0CECE" w:themeFill="background2" w:themeFillShade="E6"/>
            <w:vAlign w:val="center"/>
            <w:hideMark/>
          </w:tcPr>
          <w:p w:rsidR="00C90843" w:rsidRPr="001F4FF6" w:rsidRDefault="00C90843" w:rsidP="00B211B4">
            <w:pPr>
              <w:rPr>
                <w:rFonts w:ascii="Lato" w:eastAsia="Times New Roman" w:hAnsi="Lato" w:cs="Times New Roman"/>
                <w:b/>
                <w:bCs/>
                <w:color w:val="595959" w:themeColor="text1" w:themeTint="A6"/>
                <w:sz w:val="22"/>
                <w:szCs w:val="22"/>
                <w:lang w:val="es-ES" w:eastAsia="es-MX"/>
              </w:rPr>
            </w:pPr>
            <w:r w:rsidRPr="001F4FF6">
              <w:rPr>
                <w:rFonts w:ascii="Lato" w:eastAsia="Times New Roman" w:hAnsi="Lato" w:cs="Times New Roman"/>
                <w:b/>
                <w:bCs/>
                <w:color w:val="595959" w:themeColor="text1" w:themeTint="A6"/>
                <w:sz w:val="22"/>
                <w:szCs w:val="22"/>
                <w:lang w:val="es-ES" w:eastAsia="es-MX"/>
              </w:rPr>
              <w:t>Porcentaje</w:t>
            </w:r>
          </w:p>
        </w:tc>
      </w:tr>
      <w:tr w:rsidR="00C90843" w:rsidRPr="001F4FF6" w:rsidTr="00B211B4">
        <w:trPr>
          <w:trHeight w:val="300"/>
          <w:jc w:val="center"/>
        </w:trPr>
        <w:tc>
          <w:tcPr>
            <w:tcW w:w="2440" w:type="dxa"/>
            <w:shd w:val="clear" w:color="auto" w:fill="auto"/>
            <w:vAlign w:val="center"/>
            <w:hideMark/>
          </w:tcPr>
          <w:p w:rsidR="00C90843" w:rsidRPr="001F4FF6" w:rsidRDefault="00C90843" w:rsidP="00B211B4">
            <w:pPr>
              <w:rPr>
                <w:rFonts w:ascii="Lato" w:eastAsia="Times New Roman" w:hAnsi="Lato" w:cs="Times New Roman"/>
                <w:color w:val="595959" w:themeColor="text1" w:themeTint="A6"/>
                <w:sz w:val="22"/>
                <w:szCs w:val="22"/>
                <w:lang w:val="es-ES" w:eastAsia="es-MX"/>
              </w:rPr>
            </w:pPr>
            <w:r w:rsidRPr="001F4FF6">
              <w:rPr>
                <w:rFonts w:ascii="Lato" w:eastAsia="Times New Roman" w:hAnsi="Lato" w:cs="Arial"/>
                <w:color w:val="595959" w:themeColor="text1" w:themeTint="A6"/>
                <w:sz w:val="22"/>
                <w:szCs w:val="22"/>
                <w:lang w:val="es-ES" w:eastAsia="es-MX"/>
              </w:rPr>
              <w:t>Nivel nacional</w:t>
            </w:r>
          </w:p>
        </w:tc>
        <w:tc>
          <w:tcPr>
            <w:tcW w:w="1240" w:type="dxa"/>
            <w:shd w:val="clear" w:color="auto" w:fill="auto"/>
            <w:vAlign w:val="center"/>
            <w:hideMark/>
          </w:tcPr>
          <w:p w:rsidR="00C90843" w:rsidRPr="001F4FF6" w:rsidRDefault="00C90843" w:rsidP="00B211B4">
            <w:pPr>
              <w:rPr>
                <w:rFonts w:ascii="Lato" w:eastAsia="Times New Roman" w:hAnsi="Lato" w:cs="Times New Roman"/>
                <w:color w:val="595959" w:themeColor="text1" w:themeTint="A6"/>
                <w:sz w:val="22"/>
                <w:szCs w:val="22"/>
                <w:lang w:val="es-ES" w:eastAsia="es-MX"/>
              </w:rPr>
            </w:pPr>
            <w:r w:rsidRPr="001F4FF6">
              <w:rPr>
                <w:rFonts w:ascii="Lato" w:eastAsia="Times New Roman" w:hAnsi="Lato" w:cs="Arial"/>
                <w:color w:val="595959" w:themeColor="text1" w:themeTint="A6"/>
                <w:sz w:val="22"/>
                <w:szCs w:val="22"/>
                <w:lang w:val="es-ES" w:eastAsia="es-MX"/>
              </w:rPr>
              <w:t>10</w:t>
            </w:r>
          </w:p>
        </w:tc>
      </w:tr>
      <w:tr w:rsidR="00C90843" w:rsidRPr="001F4FF6" w:rsidTr="00B211B4">
        <w:trPr>
          <w:trHeight w:val="288"/>
          <w:jc w:val="center"/>
        </w:trPr>
        <w:tc>
          <w:tcPr>
            <w:tcW w:w="2440" w:type="dxa"/>
            <w:shd w:val="clear" w:color="auto" w:fill="auto"/>
            <w:vAlign w:val="center"/>
            <w:hideMark/>
          </w:tcPr>
          <w:p w:rsidR="00C90843" w:rsidRPr="001F4FF6" w:rsidRDefault="00C90843" w:rsidP="00B211B4">
            <w:pPr>
              <w:rPr>
                <w:rFonts w:ascii="Lato" w:eastAsia="Times New Roman" w:hAnsi="Lato" w:cs="Times New Roman"/>
                <w:color w:val="595959" w:themeColor="text1" w:themeTint="A6"/>
                <w:sz w:val="22"/>
                <w:szCs w:val="22"/>
                <w:lang w:val="es-ES" w:eastAsia="es-MX"/>
              </w:rPr>
            </w:pPr>
            <w:r w:rsidRPr="001F4FF6">
              <w:rPr>
                <w:rFonts w:ascii="Lato" w:eastAsia="Times New Roman" w:hAnsi="Lato" w:cs="Arial"/>
                <w:color w:val="595959" w:themeColor="text1" w:themeTint="A6"/>
                <w:sz w:val="22"/>
                <w:szCs w:val="22"/>
                <w:lang w:val="es-ES" w:eastAsia="es-MX"/>
              </w:rPr>
              <w:t>Nivel ANP</w:t>
            </w:r>
          </w:p>
        </w:tc>
        <w:tc>
          <w:tcPr>
            <w:tcW w:w="1240" w:type="dxa"/>
            <w:shd w:val="clear" w:color="auto" w:fill="auto"/>
            <w:vAlign w:val="center"/>
            <w:hideMark/>
          </w:tcPr>
          <w:p w:rsidR="00C90843" w:rsidRPr="001F4FF6" w:rsidRDefault="00C90843" w:rsidP="00B211B4">
            <w:pPr>
              <w:rPr>
                <w:rFonts w:ascii="Lato" w:eastAsia="Times New Roman" w:hAnsi="Lato" w:cs="Times New Roman"/>
                <w:color w:val="595959" w:themeColor="text1" w:themeTint="A6"/>
                <w:sz w:val="22"/>
                <w:szCs w:val="22"/>
                <w:lang w:val="es-ES" w:eastAsia="es-MX"/>
              </w:rPr>
            </w:pPr>
            <w:r w:rsidRPr="001F4FF6">
              <w:rPr>
                <w:rFonts w:ascii="Lato" w:eastAsia="Times New Roman" w:hAnsi="Lato" w:cs="Arial"/>
                <w:color w:val="595959" w:themeColor="text1" w:themeTint="A6"/>
                <w:sz w:val="22"/>
                <w:szCs w:val="22"/>
                <w:lang w:val="es-ES" w:eastAsia="es-MX"/>
              </w:rPr>
              <w:t>80</w:t>
            </w:r>
          </w:p>
        </w:tc>
      </w:tr>
      <w:tr w:rsidR="00C90843" w:rsidRPr="001F4FF6" w:rsidTr="00B211B4">
        <w:trPr>
          <w:trHeight w:val="300"/>
          <w:jc w:val="center"/>
        </w:trPr>
        <w:tc>
          <w:tcPr>
            <w:tcW w:w="2440" w:type="dxa"/>
            <w:shd w:val="clear" w:color="auto" w:fill="auto"/>
            <w:vAlign w:val="center"/>
            <w:hideMark/>
          </w:tcPr>
          <w:p w:rsidR="00C90843" w:rsidRPr="001F4FF6" w:rsidRDefault="00C90843" w:rsidP="00B211B4">
            <w:pPr>
              <w:rPr>
                <w:rFonts w:ascii="Lato" w:eastAsia="Times New Roman" w:hAnsi="Lato" w:cs="Times New Roman"/>
                <w:color w:val="595959" w:themeColor="text1" w:themeTint="A6"/>
                <w:sz w:val="22"/>
                <w:szCs w:val="22"/>
                <w:lang w:val="es-ES" w:eastAsia="es-MX"/>
              </w:rPr>
            </w:pPr>
            <w:r w:rsidRPr="001F4FF6">
              <w:rPr>
                <w:rFonts w:ascii="Lato" w:eastAsia="Times New Roman" w:hAnsi="Lato" w:cs="Arial"/>
                <w:color w:val="595959" w:themeColor="text1" w:themeTint="A6"/>
                <w:sz w:val="22"/>
                <w:szCs w:val="22"/>
                <w:lang w:val="es-ES" w:eastAsia="es-MX"/>
              </w:rPr>
              <w:t>Fondo de Emergencias</w:t>
            </w:r>
          </w:p>
        </w:tc>
        <w:tc>
          <w:tcPr>
            <w:tcW w:w="1240" w:type="dxa"/>
            <w:shd w:val="clear" w:color="auto" w:fill="auto"/>
            <w:vAlign w:val="center"/>
            <w:hideMark/>
          </w:tcPr>
          <w:p w:rsidR="00C90843" w:rsidRPr="001F4FF6" w:rsidRDefault="00C90843" w:rsidP="00B211B4">
            <w:pPr>
              <w:rPr>
                <w:rFonts w:ascii="Lato" w:eastAsia="Times New Roman" w:hAnsi="Lato" w:cs="Times New Roman"/>
                <w:color w:val="595959" w:themeColor="text1" w:themeTint="A6"/>
                <w:sz w:val="22"/>
                <w:szCs w:val="22"/>
                <w:lang w:val="es-ES" w:eastAsia="es-MX"/>
              </w:rPr>
            </w:pPr>
            <w:r w:rsidRPr="001F4FF6">
              <w:rPr>
                <w:rFonts w:ascii="Lato" w:eastAsia="Times New Roman" w:hAnsi="Lato" w:cs="Arial"/>
                <w:color w:val="595959" w:themeColor="text1" w:themeTint="A6"/>
                <w:sz w:val="22"/>
                <w:szCs w:val="22"/>
                <w:lang w:val="es-ES" w:eastAsia="es-MX"/>
              </w:rPr>
              <w:t>10</w:t>
            </w:r>
          </w:p>
        </w:tc>
      </w:tr>
    </w:tbl>
    <w:p w:rsidR="00C90843" w:rsidRPr="001F4FF6" w:rsidRDefault="00C90843" w:rsidP="00C90843">
      <w:pPr>
        <w:keepLines/>
        <w:spacing w:beforeLines="120" w:before="288" w:afterLines="120" w:after="288" w:line="288" w:lineRule="auto"/>
        <w:jc w:val="both"/>
        <w:rPr>
          <w:rFonts w:ascii="Lato" w:hAnsi="Lato"/>
          <w:color w:val="595959" w:themeColor="text1" w:themeTint="A6"/>
          <w:sz w:val="22"/>
          <w:szCs w:val="22"/>
          <w:lang w:val="es-ES"/>
        </w:rPr>
      </w:pPr>
      <w:r w:rsidRPr="001F4FF6">
        <w:rPr>
          <w:rFonts w:ascii="Lato" w:hAnsi="Lato"/>
          <w:color w:val="595959" w:themeColor="text1" w:themeTint="A6"/>
          <w:sz w:val="22"/>
          <w:szCs w:val="22"/>
          <w:lang w:val="es-ES"/>
        </w:rPr>
        <w:t>A continuación, se describen los lineamientos con los que se asignan los recursos dentro de cada nivel:</w:t>
      </w:r>
    </w:p>
    <w:p w:rsidR="00C90843" w:rsidRDefault="00C90843" w:rsidP="00C90843">
      <w:pPr>
        <w:rPr>
          <w:rFonts w:ascii="Lato" w:hAnsi="Lato"/>
          <w:b/>
          <w:color w:val="595959" w:themeColor="text1" w:themeTint="A6"/>
          <w:sz w:val="22"/>
          <w:szCs w:val="22"/>
        </w:rPr>
      </w:pPr>
      <w:r>
        <w:rPr>
          <w:rFonts w:ascii="Lato" w:hAnsi="Lato"/>
          <w:b/>
          <w:color w:val="595959" w:themeColor="text1" w:themeTint="A6"/>
          <w:sz w:val="22"/>
          <w:szCs w:val="22"/>
        </w:rPr>
        <w:lastRenderedPageBreak/>
        <w:t>A</w:t>
      </w:r>
      <w:r w:rsidRPr="00DD0A08">
        <w:rPr>
          <w:rFonts w:ascii="Lato" w:hAnsi="Lato"/>
          <w:b/>
          <w:color w:val="595959" w:themeColor="text1" w:themeTint="A6"/>
          <w:sz w:val="22"/>
          <w:szCs w:val="22"/>
        </w:rPr>
        <w:t>. Nivel Nacional</w:t>
      </w:r>
    </w:p>
    <w:p w:rsidR="00C90843" w:rsidRDefault="00C90843" w:rsidP="00C90843">
      <w:pPr>
        <w:rPr>
          <w:rFonts w:ascii="Lato" w:hAnsi="Lato"/>
          <w:color w:val="595959" w:themeColor="text1" w:themeTint="A6"/>
          <w:sz w:val="22"/>
          <w:szCs w:val="22"/>
          <w:lang w:val="es-ES"/>
        </w:rPr>
      </w:pPr>
    </w:p>
    <w:p w:rsidR="00C90843" w:rsidRPr="001F4FF6" w:rsidRDefault="00C90843" w:rsidP="00C90843">
      <w:pPr>
        <w:spacing w:beforeLines="24" w:before="57" w:afterLines="24" w:after="57" w:line="288" w:lineRule="auto"/>
        <w:jc w:val="both"/>
        <w:rPr>
          <w:rFonts w:ascii="Lato" w:hAnsi="Lato"/>
          <w:color w:val="595959" w:themeColor="text1" w:themeTint="A6"/>
          <w:sz w:val="22"/>
          <w:szCs w:val="22"/>
          <w:lang w:val="es-ES"/>
        </w:rPr>
      </w:pPr>
      <w:r w:rsidRPr="001F4FF6">
        <w:rPr>
          <w:rFonts w:ascii="Lato" w:hAnsi="Lato"/>
          <w:color w:val="595959" w:themeColor="text1" w:themeTint="A6"/>
          <w:sz w:val="22"/>
          <w:szCs w:val="22"/>
          <w:lang w:val="es-ES"/>
        </w:rPr>
        <w:t>Incluye aquellos sub-proyectos y consultorías con impacto a nivel nacional, de acuerdo a lo planteado en la Estrategia 2040 (E-2040) de la</w:t>
      </w:r>
      <w:r>
        <w:rPr>
          <w:rFonts w:ascii="Lato" w:hAnsi="Lato"/>
          <w:color w:val="595959" w:themeColor="text1" w:themeTint="A6"/>
          <w:sz w:val="22"/>
          <w:szCs w:val="22"/>
          <w:lang w:val="es-ES"/>
        </w:rPr>
        <w:t xml:space="preserve"> </w:t>
      </w:r>
      <w:r w:rsidRPr="001F4FF6">
        <w:rPr>
          <w:rFonts w:ascii="Lato" w:hAnsi="Lato"/>
          <w:color w:val="595959" w:themeColor="text1" w:themeTint="A6"/>
          <w:sz w:val="22"/>
          <w:szCs w:val="22"/>
          <w:lang w:val="es-ES"/>
        </w:rPr>
        <w:t xml:space="preserve">Comisión Nacional de Áreas Naturales Protegidas </w:t>
      </w:r>
      <w:r>
        <w:rPr>
          <w:rFonts w:ascii="Lato" w:hAnsi="Lato"/>
          <w:color w:val="595959" w:themeColor="text1" w:themeTint="A6"/>
          <w:sz w:val="22"/>
          <w:szCs w:val="22"/>
          <w:lang w:val="es-ES"/>
        </w:rPr>
        <w:t>(</w:t>
      </w:r>
      <w:r w:rsidRPr="001F4FF6">
        <w:rPr>
          <w:rFonts w:ascii="Lato" w:hAnsi="Lato"/>
          <w:color w:val="595959" w:themeColor="text1" w:themeTint="A6"/>
          <w:sz w:val="22"/>
          <w:szCs w:val="22"/>
          <w:lang w:val="es-ES"/>
        </w:rPr>
        <w:t>Conanp</w:t>
      </w:r>
      <w:r>
        <w:rPr>
          <w:rFonts w:ascii="Lato" w:hAnsi="Lato"/>
          <w:color w:val="595959" w:themeColor="text1" w:themeTint="A6"/>
          <w:sz w:val="22"/>
          <w:szCs w:val="22"/>
          <w:lang w:val="es-ES"/>
        </w:rPr>
        <w:t>)</w:t>
      </w:r>
      <w:r w:rsidRPr="001F4FF6">
        <w:rPr>
          <w:rFonts w:ascii="Lato" w:hAnsi="Lato"/>
          <w:color w:val="595959" w:themeColor="text1" w:themeTint="A6"/>
          <w:sz w:val="22"/>
          <w:szCs w:val="22"/>
          <w:lang w:val="es-ES"/>
        </w:rPr>
        <w:t xml:space="preserve"> en sus ejes sustantivos, de coordinación y soporte</w:t>
      </w:r>
      <w:r w:rsidRPr="001F4FF6">
        <w:rPr>
          <w:rStyle w:val="Refdenotaalpie"/>
          <w:rFonts w:ascii="Lato" w:hAnsi="Lato"/>
          <w:color w:val="595959" w:themeColor="text1" w:themeTint="A6"/>
          <w:sz w:val="22"/>
          <w:lang w:val="es-ES"/>
        </w:rPr>
        <w:footnoteReference w:id="1"/>
      </w:r>
      <w:r w:rsidRPr="001F4FF6">
        <w:rPr>
          <w:rFonts w:ascii="Lato" w:hAnsi="Lato"/>
          <w:color w:val="595959" w:themeColor="text1" w:themeTint="A6"/>
          <w:sz w:val="22"/>
          <w:szCs w:val="22"/>
          <w:lang w:val="es-ES"/>
        </w:rPr>
        <w:t xml:space="preserve">; en la Estrategia Nacional sobre Biodiversidad de México 2016 – 2030 de la </w:t>
      </w:r>
      <w:r w:rsidRPr="00BE1F11">
        <w:rPr>
          <w:rFonts w:ascii="Lato" w:hAnsi="Lato"/>
          <w:color w:val="595959" w:themeColor="text1" w:themeTint="A6"/>
          <w:sz w:val="22"/>
          <w:szCs w:val="22"/>
          <w:lang w:val="es-ES"/>
        </w:rPr>
        <w:t xml:space="preserve">Comisión Nacional para el Conocimiento y Uso de la Biodiversidad </w:t>
      </w:r>
      <w:r>
        <w:rPr>
          <w:rFonts w:ascii="Lato" w:hAnsi="Lato"/>
          <w:color w:val="595959" w:themeColor="text1" w:themeTint="A6"/>
          <w:sz w:val="22"/>
          <w:szCs w:val="22"/>
          <w:lang w:val="es-ES"/>
        </w:rPr>
        <w:t>(</w:t>
      </w:r>
      <w:r w:rsidRPr="001F4FF6">
        <w:rPr>
          <w:rFonts w:ascii="Lato" w:hAnsi="Lato"/>
          <w:color w:val="595959" w:themeColor="text1" w:themeTint="A6"/>
          <w:sz w:val="22"/>
          <w:szCs w:val="22"/>
          <w:lang w:val="es-ES"/>
        </w:rPr>
        <w:t>Conabio</w:t>
      </w:r>
      <w:r>
        <w:rPr>
          <w:rFonts w:ascii="Lato" w:hAnsi="Lato"/>
          <w:color w:val="595959" w:themeColor="text1" w:themeTint="A6"/>
          <w:sz w:val="22"/>
          <w:szCs w:val="22"/>
          <w:lang w:val="es-ES"/>
        </w:rPr>
        <w:t>)</w:t>
      </w:r>
      <w:r w:rsidRPr="001F4FF6">
        <w:rPr>
          <w:rStyle w:val="Refdenotaalpie"/>
          <w:rFonts w:ascii="Lato" w:hAnsi="Lato"/>
          <w:color w:val="595959" w:themeColor="text1" w:themeTint="A6"/>
          <w:sz w:val="22"/>
          <w:lang w:val="es-ES"/>
        </w:rPr>
        <w:footnoteReference w:id="2"/>
      </w:r>
      <w:r w:rsidRPr="001F4FF6">
        <w:rPr>
          <w:rFonts w:ascii="Lato" w:hAnsi="Lato"/>
          <w:color w:val="595959" w:themeColor="text1" w:themeTint="A6"/>
          <w:sz w:val="22"/>
          <w:szCs w:val="22"/>
          <w:lang w:val="es-ES"/>
        </w:rPr>
        <w:t xml:space="preserve">; y en la Planeación Estratégica 2018 – 2023 de FMCN. </w:t>
      </w:r>
    </w:p>
    <w:p w:rsidR="00C90843" w:rsidRPr="001F4FF6"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sidRPr="001F4FF6">
        <w:rPr>
          <w:rFonts w:ascii="Lato" w:hAnsi="Lato"/>
          <w:color w:val="595959" w:themeColor="text1" w:themeTint="A6"/>
          <w:sz w:val="22"/>
          <w:szCs w:val="22"/>
          <w:lang w:val="es-ES"/>
        </w:rPr>
        <w:t>Estos sub-proyectos y consultorías son propuestos por las Direcciones Generales de la</w:t>
      </w:r>
      <w:r>
        <w:rPr>
          <w:rFonts w:ascii="Lato" w:hAnsi="Lato"/>
          <w:color w:val="595959" w:themeColor="text1" w:themeTint="A6"/>
          <w:sz w:val="22"/>
          <w:szCs w:val="22"/>
          <w:lang w:val="es-ES"/>
        </w:rPr>
        <w:t xml:space="preserve"> </w:t>
      </w:r>
      <w:r w:rsidRPr="001F4FF6">
        <w:rPr>
          <w:rFonts w:ascii="Lato" w:hAnsi="Lato"/>
          <w:color w:val="595959" w:themeColor="text1" w:themeTint="A6"/>
          <w:sz w:val="22"/>
          <w:szCs w:val="22"/>
          <w:lang w:val="es-ES"/>
        </w:rPr>
        <w:t xml:space="preserve">Conanp y/o por el </w:t>
      </w:r>
      <w:r>
        <w:rPr>
          <w:rFonts w:ascii="Lato" w:hAnsi="Lato"/>
          <w:color w:val="595959" w:themeColor="text1" w:themeTint="A6"/>
          <w:sz w:val="22"/>
          <w:szCs w:val="22"/>
          <w:lang w:val="es-ES"/>
        </w:rPr>
        <w:t>Comité Técnico del Fondo para Áreas Naturales Protegidas (</w:t>
      </w:r>
      <w:r w:rsidRPr="001F4FF6">
        <w:rPr>
          <w:rFonts w:ascii="Lato" w:hAnsi="Lato"/>
          <w:color w:val="595959" w:themeColor="text1" w:themeTint="A6"/>
          <w:sz w:val="22"/>
          <w:szCs w:val="22"/>
          <w:lang w:val="es-ES"/>
        </w:rPr>
        <w:t>CTFANP</w:t>
      </w:r>
      <w:r>
        <w:rPr>
          <w:rFonts w:ascii="Lato" w:hAnsi="Lato"/>
          <w:color w:val="595959" w:themeColor="text1" w:themeTint="A6"/>
          <w:sz w:val="22"/>
          <w:szCs w:val="22"/>
          <w:lang w:val="es-ES"/>
        </w:rPr>
        <w:t>)</w:t>
      </w:r>
      <w:r w:rsidRPr="001F4FF6">
        <w:rPr>
          <w:rFonts w:ascii="Lato" w:hAnsi="Lato"/>
          <w:color w:val="595959" w:themeColor="text1" w:themeTint="A6"/>
          <w:sz w:val="22"/>
          <w:szCs w:val="22"/>
          <w:lang w:val="es-ES"/>
        </w:rPr>
        <w:t xml:space="preserve"> para atender necesidades que fortalezcan los obj</w:t>
      </w:r>
      <w:r>
        <w:rPr>
          <w:rFonts w:ascii="Lato" w:hAnsi="Lato"/>
          <w:color w:val="595959" w:themeColor="text1" w:themeTint="A6"/>
          <w:sz w:val="22"/>
          <w:szCs w:val="22"/>
          <w:lang w:val="es-ES"/>
        </w:rPr>
        <w:t>etivos de conservación del proyecto</w:t>
      </w:r>
      <w:r w:rsidRPr="001F4FF6">
        <w:rPr>
          <w:rFonts w:ascii="Lato" w:hAnsi="Lato"/>
          <w:color w:val="595959" w:themeColor="text1" w:themeTint="A6"/>
          <w:sz w:val="22"/>
          <w:szCs w:val="22"/>
          <w:lang w:val="es-ES"/>
        </w:rPr>
        <w:t xml:space="preserve">. La selección de estos sub-proyectos y consultorías se lleva a cabo en el seno de CTFANP en octubre de cada año, estableciendo su duración y de acuerdo con la suficiencia presupuestal. Este comité podrá decidir abrir una convocatoria para recibir propuestas de las </w:t>
      </w:r>
      <w:r>
        <w:rPr>
          <w:rFonts w:ascii="Lato" w:hAnsi="Lato"/>
          <w:color w:val="595959" w:themeColor="text1" w:themeTint="A6"/>
          <w:sz w:val="22"/>
          <w:szCs w:val="22"/>
          <w:lang w:val="es-ES"/>
        </w:rPr>
        <w:t>Organizaciones de la Sociedad Civil (OLLC)</w:t>
      </w:r>
      <w:r w:rsidRPr="001F4FF6">
        <w:rPr>
          <w:rFonts w:ascii="Lato" w:hAnsi="Lato"/>
          <w:color w:val="595959" w:themeColor="text1" w:themeTint="A6"/>
          <w:sz w:val="22"/>
          <w:szCs w:val="22"/>
          <w:lang w:val="es-ES"/>
        </w:rPr>
        <w:t xml:space="preserve"> en temas específicos. </w:t>
      </w:r>
    </w:p>
    <w:p w:rsidR="00C90843"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sidRPr="001F4FF6">
        <w:rPr>
          <w:rFonts w:ascii="Lato" w:hAnsi="Lato"/>
          <w:color w:val="595959" w:themeColor="text1" w:themeTint="A6"/>
          <w:sz w:val="22"/>
          <w:szCs w:val="22"/>
          <w:lang w:val="es-ES"/>
        </w:rPr>
        <w:t>Los detalles de dicha convocatoria</w:t>
      </w:r>
      <w:r>
        <w:rPr>
          <w:rFonts w:ascii="Lato" w:hAnsi="Lato"/>
          <w:color w:val="595959" w:themeColor="text1" w:themeTint="A6"/>
          <w:sz w:val="22"/>
          <w:szCs w:val="22"/>
          <w:lang w:val="es-ES"/>
        </w:rPr>
        <w:t xml:space="preserve"> se especifican en el apartado tres</w:t>
      </w:r>
      <w:r w:rsidRPr="001F4FF6">
        <w:rPr>
          <w:rFonts w:ascii="Lato" w:hAnsi="Lato"/>
          <w:color w:val="595959" w:themeColor="text1" w:themeTint="A6"/>
          <w:sz w:val="22"/>
          <w:szCs w:val="22"/>
          <w:lang w:val="es-ES"/>
        </w:rPr>
        <w:t xml:space="preserve"> para financiar sub-proyectos, del Manual de Operaciones. </w:t>
      </w:r>
    </w:p>
    <w:p w:rsidR="00C90843" w:rsidRDefault="00C90843" w:rsidP="00C90843">
      <w:pPr>
        <w:spacing w:beforeLines="24" w:before="57" w:afterLines="24" w:after="57" w:line="288" w:lineRule="auto"/>
        <w:jc w:val="both"/>
        <w:rPr>
          <w:rFonts w:ascii="Lato" w:hAnsi="Lato"/>
          <w:color w:val="595959" w:themeColor="text1" w:themeTint="A6"/>
          <w:sz w:val="22"/>
          <w:szCs w:val="22"/>
          <w:lang w:val="es-ES"/>
        </w:rPr>
      </w:pPr>
    </w:p>
    <w:p w:rsidR="00C90843" w:rsidRPr="0068373D" w:rsidRDefault="00C90843" w:rsidP="00C90843">
      <w:pPr>
        <w:spacing w:beforeLines="24" w:before="57" w:afterLines="24" w:after="57" w:line="288" w:lineRule="auto"/>
        <w:jc w:val="both"/>
        <w:rPr>
          <w:rFonts w:ascii="Lato" w:hAnsi="Lato"/>
          <w:b/>
          <w:color w:val="595959" w:themeColor="text1" w:themeTint="A6"/>
          <w:sz w:val="22"/>
          <w:szCs w:val="22"/>
        </w:rPr>
      </w:pPr>
      <w:r>
        <w:rPr>
          <w:rFonts w:ascii="Lato" w:hAnsi="Lato"/>
          <w:b/>
          <w:color w:val="595959" w:themeColor="text1" w:themeTint="A6"/>
          <w:sz w:val="22"/>
          <w:szCs w:val="22"/>
        </w:rPr>
        <w:t>B</w:t>
      </w:r>
      <w:r w:rsidRPr="0068373D">
        <w:rPr>
          <w:rFonts w:ascii="Lato" w:hAnsi="Lato"/>
          <w:b/>
          <w:color w:val="595959" w:themeColor="text1" w:themeTint="A6"/>
          <w:sz w:val="22"/>
          <w:szCs w:val="22"/>
        </w:rPr>
        <w:t>. Nivel ANP</w:t>
      </w:r>
    </w:p>
    <w:p w:rsidR="00C90843"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p>
    <w:p w:rsidR="00C90843"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sidRPr="001F4FF6">
        <w:rPr>
          <w:rFonts w:ascii="Lato" w:hAnsi="Lato"/>
          <w:color w:val="595959" w:themeColor="text1" w:themeTint="A6"/>
          <w:sz w:val="22"/>
          <w:szCs w:val="22"/>
          <w:lang w:val="es-ES"/>
        </w:rPr>
        <w:lastRenderedPageBreak/>
        <w:t>Los recursos en este nivel son destinados al forta</w:t>
      </w:r>
      <w:r>
        <w:rPr>
          <w:rFonts w:ascii="Lato" w:hAnsi="Lato"/>
          <w:color w:val="595959" w:themeColor="text1" w:themeTint="A6"/>
          <w:sz w:val="22"/>
          <w:szCs w:val="22"/>
          <w:lang w:val="es-ES"/>
        </w:rPr>
        <w:t>lecimiento de la operación de 70</w:t>
      </w:r>
      <w:r w:rsidRPr="001F4FF6">
        <w:rPr>
          <w:rFonts w:ascii="Lato" w:hAnsi="Lato"/>
          <w:color w:val="595959" w:themeColor="text1" w:themeTint="A6"/>
          <w:sz w:val="22"/>
          <w:szCs w:val="22"/>
          <w:lang w:val="es-ES"/>
        </w:rPr>
        <w:t xml:space="preserve"> </w:t>
      </w:r>
      <w:r>
        <w:rPr>
          <w:rFonts w:ascii="Lato" w:hAnsi="Lato"/>
          <w:color w:val="595959" w:themeColor="text1" w:themeTint="A6"/>
          <w:sz w:val="22"/>
          <w:szCs w:val="22"/>
          <w:lang w:val="es-ES"/>
        </w:rPr>
        <w:t>Áreas Naturales Protegidas (</w:t>
      </w:r>
      <w:r w:rsidRPr="001F4FF6">
        <w:rPr>
          <w:rFonts w:ascii="Lato" w:hAnsi="Lato"/>
          <w:color w:val="595959" w:themeColor="text1" w:themeTint="A6"/>
          <w:sz w:val="22"/>
          <w:szCs w:val="22"/>
          <w:lang w:val="es-ES"/>
        </w:rPr>
        <w:t>ANP</w:t>
      </w:r>
      <w:r>
        <w:rPr>
          <w:rFonts w:ascii="Lato" w:hAnsi="Lato"/>
          <w:color w:val="595959" w:themeColor="text1" w:themeTint="A6"/>
          <w:sz w:val="22"/>
          <w:szCs w:val="22"/>
          <w:lang w:val="es-ES"/>
        </w:rPr>
        <w:t xml:space="preserve">) </w:t>
      </w:r>
      <w:r w:rsidRPr="001F4FF6">
        <w:rPr>
          <w:rFonts w:ascii="Lato" w:hAnsi="Lato"/>
          <w:color w:val="595959" w:themeColor="text1" w:themeTint="A6"/>
          <w:sz w:val="22"/>
          <w:szCs w:val="22"/>
          <w:lang w:val="es-ES"/>
        </w:rPr>
        <w:t>(Cuadro 2 y Figura 1)</w:t>
      </w:r>
      <w:r>
        <w:rPr>
          <w:rFonts w:ascii="Lato" w:hAnsi="Lato"/>
          <w:color w:val="595959" w:themeColor="text1" w:themeTint="A6"/>
          <w:sz w:val="22"/>
          <w:szCs w:val="22"/>
          <w:lang w:val="es-ES"/>
        </w:rPr>
        <w:t xml:space="preserve"> bajo el mecanismo del FANP. El FANP es un mecanismo público-privado entre FMCN y la Comisión Nacional de Áreas Naturales Protegidas (Conanp); FMCN está a cargo del manejo financiero de los recursos económicos y supervisa su ejercicio en las ANP administradas por Conanp, quien asegura que estos recursos sean ejercidos en actividades estratégicas de conservación en el territorio. El mecanismo del FANP financia actividades estratégicas como monitoreo biológico, restauración de áreas degradadas, vigilancia comunitaria, protección contra incendios y manejo del fuego, proyectos productivos, ecoturismo y fortalecimiento de capacidades, entre otros.</w:t>
      </w:r>
    </w:p>
    <w:p w:rsidR="00C90843"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Pr>
          <w:rFonts w:ascii="Lato" w:hAnsi="Lato"/>
          <w:color w:val="595959" w:themeColor="text1" w:themeTint="A6"/>
          <w:sz w:val="22"/>
          <w:szCs w:val="22"/>
          <w:lang w:val="es-ES"/>
        </w:rPr>
        <w:t>Los recursos canalizados a las ANP son de dos tipos, patrimoniales y extinguibles,</w:t>
      </w:r>
      <w:r w:rsidRPr="001F4FF6">
        <w:rPr>
          <w:rFonts w:ascii="Lato" w:hAnsi="Lato"/>
          <w:color w:val="595959" w:themeColor="text1" w:themeTint="A6"/>
          <w:sz w:val="22"/>
          <w:szCs w:val="22"/>
          <w:lang w:val="es-ES"/>
        </w:rPr>
        <w:t xml:space="preserve"> </w:t>
      </w:r>
      <w:r>
        <w:rPr>
          <w:rFonts w:ascii="Lato" w:hAnsi="Lato"/>
          <w:color w:val="595959" w:themeColor="text1" w:themeTint="A6"/>
          <w:sz w:val="22"/>
          <w:szCs w:val="22"/>
          <w:lang w:val="es-ES"/>
        </w:rPr>
        <w:t>provienen de diversas fuentes financieras, son aplicados con base en los acuerdos específicos de cada proyecto y supervisados por órganos de gobernanza conformados para ello.</w:t>
      </w:r>
      <w:r w:rsidRPr="001F4FF6">
        <w:rPr>
          <w:rFonts w:ascii="Lato" w:hAnsi="Lato"/>
          <w:color w:val="595959" w:themeColor="text1" w:themeTint="A6"/>
          <w:sz w:val="22"/>
          <w:szCs w:val="22"/>
          <w:lang w:val="es-ES"/>
        </w:rPr>
        <w:t xml:space="preserve"> La ejecución de recursos se realiza a través de Planes Operativos Anuales (POA), alineados a Planeaciones Estratégicas de cinco años. </w:t>
      </w:r>
    </w:p>
    <w:p w:rsidR="00C90843"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p>
    <w:p w:rsidR="00C90843"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Pr>
          <w:rFonts w:ascii="Lato" w:hAnsi="Lato"/>
          <w:color w:val="595959" w:themeColor="text1" w:themeTint="A6"/>
          <w:sz w:val="22"/>
          <w:szCs w:val="22"/>
          <w:lang w:val="es-ES"/>
        </w:rPr>
        <w:t xml:space="preserve">La inclusión de nuevas ANP al mecanismo del FANP está sujeta a la disponibilidad de recursos financieros, un análisis de prioridades y oportunidades identificadas por los órganos de gobernanza de cada proyecto, para potenciar sinergias en determinadas regiones o con proyectos específicos. </w:t>
      </w:r>
    </w:p>
    <w:p w:rsidR="00C90843" w:rsidRPr="001F4FF6"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p>
    <w:p w:rsidR="00C90843" w:rsidRPr="0059353A" w:rsidRDefault="00C90843" w:rsidP="00C90843">
      <w:pPr>
        <w:keepLines/>
        <w:spacing w:beforeLines="24" w:before="57" w:afterLines="24" w:after="57" w:line="288" w:lineRule="auto"/>
        <w:jc w:val="both"/>
        <w:rPr>
          <w:rFonts w:ascii="Lato" w:hAnsi="Lato"/>
          <w:color w:val="595959" w:themeColor="text1" w:themeTint="A6"/>
          <w:sz w:val="20"/>
          <w:szCs w:val="22"/>
          <w:lang w:val="es-ES"/>
        </w:rPr>
      </w:pPr>
      <w:r w:rsidRPr="0059353A">
        <w:rPr>
          <w:rFonts w:ascii="Lato" w:hAnsi="Lato"/>
          <w:b/>
          <w:bCs/>
          <w:color w:val="595959" w:themeColor="text1" w:themeTint="A6"/>
          <w:sz w:val="20"/>
          <w:szCs w:val="22"/>
          <w:lang w:val="es-ES"/>
        </w:rPr>
        <w:t>Cuadro 2.</w:t>
      </w:r>
      <w:r w:rsidRPr="0059353A">
        <w:rPr>
          <w:rFonts w:ascii="Lato" w:hAnsi="Lato"/>
          <w:color w:val="595959" w:themeColor="text1" w:themeTint="A6"/>
          <w:sz w:val="20"/>
          <w:szCs w:val="22"/>
          <w:lang w:val="es-ES"/>
        </w:rPr>
        <w:t xml:space="preserve"> ANP prioritarias con recursos patrimoniales </w:t>
      </w:r>
      <w:r>
        <w:rPr>
          <w:rFonts w:ascii="Lato" w:hAnsi="Lato"/>
          <w:color w:val="595959" w:themeColor="text1" w:themeTint="A6"/>
          <w:sz w:val="20"/>
          <w:szCs w:val="22"/>
          <w:lang w:val="es-ES"/>
        </w:rPr>
        <w:t>bajo custodia de</w:t>
      </w:r>
      <w:r w:rsidRPr="0059353A">
        <w:rPr>
          <w:rFonts w:ascii="Lato" w:hAnsi="Lato"/>
          <w:color w:val="595959" w:themeColor="text1" w:themeTint="A6"/>
          <w:sz w:val="20"/>
          <w:szCs w:val="22"/>
          <w:lang w:val="es-ES"/>
        </w:rPr>
        <w:t xml:space="preserve"> FMCN que operan bajo el mecanismo del FANP. </w:t>
      </w:r>
      <w:r w:rsidRPr="0059353A">
        <w:rPr>
          <w:rFonts w:ascii="Lato" w:hAnsi="Lato"/>
          <w:color w:val="595959" w:themeColor="text1" w:themeTint="A6"/>
          <w:sz w:val="20"/>
          <w:szCs w:val="22"/>
          <w:vertAlign w:val="superscript"/>
          <w:lang w:val="es-ES"/>
        </w:rPr>
        <w:t>1</w:t>
      </w:r>
      <w:r w:rsidRPr="0059353A">
        <w:rPr>
          <w:rFonts w:ascii="Lato" w:hAnsi="Lato"/>
          <w:color w:val="595959" w:themeColor="text1" w:themeTint="A6"/>
          <w:sz w:val="20"/>
          <w:szCs w:val="22"/>
          <w:lang w:val="es-ES"/>
        </w:rPr>
        <w:t xml:space="preserve">Categoría: APFF=Área de Protección de Flora y Fauna; APRN=Área de Protección de Recursos Naturales; PN=Parque Nacional; RB=Reserva de la Biosfera. </w:t>
      </w:r>
      <w:r w:rsidRPr="0059353A">
        <w:rPr>
          <w:rFonts w:ascii="Lato" w:hAnsi="Lato"/>
          <w:color w:val="595959" w:themeColor="text1" w:themeTint="A6"/>
          <w:sz w:val="20"/>
          <w:szCs w:val="22"/>
          <w:vertAlign w:val="superscript"/>
          <w:lang w:val="es-ES"/>
        </w:rPr>
        <w:t>2</w:t>
      </w:r>
      <w:r w:rsidRPr="0059353A">
        <w:rPr>
          <w:rFonts w:ascii="Lato" w:hAnsi="Lato"/>
          <w:color w:val="595959" w:themeColor="text1" w:themeTint="A6"/>
          <w:sz w:val="20"/>
          <w:szCs w:val="22"/>
          <w:lang w:val="es-ES"/>
        </w:rPr>
        <w:t xml:space="preserve">Proyecto/Fuente financiera: FANP (FMAM)=Fondo para Áreas Naturales Protegidas con recursos del Fondo para el Medio Ambiente Mundial; FANP donantes específicos= Fondo para Áreas Naturales Protegidas con recursos etiquetados de donantes específicos; FGC=Fondo para el Golfo de California; C6=Conservación de Cuencas Costeras en el Contexto de Cambio Climático; FINANP=Financiamiento </w:t>
      </w:r>
      <w:r>
        <w:rPr>
          <w:rFonts w:ascii="Lato" w:hAnsi="Lato"/>
          <w:color w:val="595959" w:themeColor="text1" w:themeTint="A6"/>
          <w:sz w:val="20"/>
          <w:szCs w:val="22"/>
          <w:lang w:val="es-ES"/>
        </w:rPr>
        <w:t>Sostenible para Nuevas</w:t>
      </w:r>
      <w:r w:rsidRPr="0059353A">
        <w:rPr>
          <w:rFonts w:ascii="Lato" w:hAnsi="Lato"/>
          <w:color w:val="595959" w:themeColor="text1" w:themeTint="A6"/>
          <w:sz w:val="20"/>
          <w:szCs w:val="22"/>
          <w:lang w:val="es-ES"/>
        </w:rPr>
        <w:t xml:space="preserve"> Áreas Naturales Protegidas</w:t>
      </w:r>
      <w:r>
        <w:rPr>
          <w:rFonts w:ascii="Lato" w:hAnsi="Lato"/>
          <w:color w:val="595959" w:themeColor="text1" w:themeTint="A6"/>
          <w:sz w:val="20"/>
          <w:szCs w:val="22"/>
          <w:lang w:val="es-ES"/>
        </w:rPr>
        <w:t>; *CoSMoS=</w:t>
      </w:r>
      <w:r w:rsidRPr="00833531">
        <w:rPr>
          <w:rFonts w:ascii="Lato" w:hAnsi="Lato"/>
          <w:color w:val="595959" w:themeColor="text1" w:themeTint="A6"/>
          <w:sz w:val="20"/>
          <w:szCs w:val="22"/>
          <w:lang w:val="es-ES"/>
        </w:rPr>
        <w:t>Conservación y uso Sostenible en Montañas y Sierras</w:t>
      </w:r>
      <w:r>
        <w:rPr>
          <w:rFonts w:ascii="Lato" w:hAnsi="Lato"/>
          <w:color w:val="595959" w:themeColor="text1" w:themeTint="A6"/>
          <w:sz w:val="20"/>
          <w:szCs w:val="22"/>
          <w:lang w:val="es-ES"/>
        </w:rPr>
        <w:t xml:space="preserve"> con recursos extinguibles a cinco años.</w:t>
      </w:r>
    </w:p>
    <w:p w:rsidR="00C90843" w:rsidRPr="001F4FF6"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p>
    <w:tbl>
      <w:tblPr>
        <w:tblStyle w:val="Tablaconcuadrcula"/>
        <w:tblW w:w="0" w:type="auto"/>
        <w:jc w:val="center"/>
        <w:tblBorders>
          <w:top w:val="none" w:sz="0" w:space="0" w:color="auto"/>
          <w:left w:val="none" w:sz="0" w:space="0" w:color="auto"/>
          <w:bottom w:val="none" w:sz="0" w:space="0" w:color="auto"/>
          <w:right w:val="none" w:sz="0" w:space="0" w:color="auto"/>
          <w:insideH w:val="single" w:sz="4" w:space="0" w:color="7F7F7F" w:themeColor="text1" w:themeTint="80"/>
          <w:insideV w:val="none" w:sz="0" w:space="0" w:color="auto"/>
        </w:tblBorders>
        <w:tblLook w:val="04A0" w:firstRow="1" w:lastRow="0" w:firstColumn="1" w:lastColumn="0" w:noHBand="0" w:noVBand="1"/>
      </w:tblPr>
      <w:tblGrid>
        <w:gridCol w:w="589"/>
        <w:gridCol w:w="5580"/>
        <w:gridCol w:w="2669"/>
      </w:tblGrid>
      <w:tr w:rsidR="00C90843" w:rsidRPr="001F4FF6" w:rsidTr="00B211B4">
        <w:trPr>
          <w:jc w:val="center"/>
        </w:trPr>
        <w:tc>
          <w:tcPr>
            <w:tcW w:w="0" w:type="auto"/>
            <w:shd w:val="clear" w:color="auto" w:fill="D0CECE" w:themeFill="background2" w:themeFillShade="E6"/>
          </w:tcPr>
          <w:p w:rsidR="00C90843" w:rsidRPr="001F4FF6" w:rsidRDefault="00C90843" w:rsidP="00B211B4">
            <w:pPr>
              <w:keepLines/>
              <w:spacing w:before="120" w:after="120"/>
              <w:jc w:val="both"/>
              <w:rPr>
                <w:rFonts w:ascii="Lato" w:hAnsi="Lato"/>
                <w:color w:val="595959" w:themeColor="text1" w:themeTint="A6"/>
                <w:lang w:val="es-ES"/>
              </w:rPr>
            </w:pPr>
            <w:r w:rsidRPr="001F4FF6">
              <w:rPr>
                <w:rFonts w:ascii="Lato" w:hAnsi="Lato"/>
                <w:color w:val="595959" w:themeColor="text1" w:themeTint="A6"/>
                <w:lang w:val="es-ES"/>
              </w:rPr>
              <w:lastRenderedPageBreak/>
              <w:t xml:space="preserve">No. </w:t>
            </w:r>
          </w:p>
        </w:tc>
        <w:tc>
          <w:tcPr>
            <w:tcW w:w="0" w:type="auto"/>
            <w:shd w:val="clear" w:color="auto" w:fill="D0CECE" w:themeFill="background2" w:themeFillShade="E6"/>
          </w:tcPr>
          <w:p w:rsidR="00C90843" w:rsidRPr="001F4FF6" w:rsidRDefault="00C90843" w:rsidP="00B211B4">
            <w:pPr>
              <w:keepLines/>
              <w:spacing w:before="120" w:after="120"/>
              <w:rPr>
                <w:rFonts w:ascii="Lato" w:hAnsi="Lato"/>
                <w:color w:val="595959" w:themeColor="text1" w:themeTint="A6"/>
                <w:lang w:val="es-ES"/>
              </w:rPr>
            </w:pPr>
            <w:r w:rsidRPr="001F4FF6">
              <w:rPr>
                <w:rFonts w:ascii="Lato" w:hAnsi="Lato"/>
                <w:color w:val="595959" w:themeColor="text1" w:themeTint="A6"/>
                <w:lang w:val="es-ES"/>
              </w:rPr>
              <w:t>Categoría</w:t>
            </w:r>
            <w:r w:rsidRPr="00782B30">
              <w:rPr>
                <w:rFonts w:ascii="Lato" w:hAnsi="Lato"/>
                <w:color w:val="595959" w:themeColor="text1" w:themeTint="A6"/>
                <w:vertAlign w:val="superscript"/>
                <w:lang w:val="es-ES"/>
              </w:rPr>
              <w:t>1</w:t>
            </w:r>
            <w:r w:rsidRPr="001F4FF6">
              <w:rPr>
                <w:rFonts w:ascii="Lato" w:hAnsi="Lato"/>
                <w:color w:val="595959" w:themeColor="text1" w:themeTint="A6"/>
                <w:lang w:val="es-ES"/>
              </w:rPr>
              <w:t xml:space="preserve"> y ANP con recursos patrimoniales</w:t>
            </w:r>
          </w:p>
        </w:tc>
        <w:tc>
          <w:tcPr>
            <w:tcW w:w="0" w:type="auto"/>
            <w:shd w:val="clear" w:color="auto" w:fill="D0CECE" w:themeFill="background2" w:themeFillShade="E6"/>
          </w:tcPr>
          <w:p w:rsidR="00C90843" w:rsidRPr="001F4FF6" w:rsidRDefault="00C90843" w:rsidP="00B211B4">
            <w:pPr>
              <w:keepLines/>
              <w:spacing w:before="120" w:after="120"/>
              <w:rPr>
                <w:rFonts w:ascii="Lato" w:hAnsi="Lato"/>
                <w:color w:val="FFFFFF" w:themeColor="background1"/>
                <w:lang w:val="es-ES"/>
              </w:rPr>
            </w:pPr>
            <w:r w:rsidRPr="001F4FF6">
              <w:rPr>
                <w:rFonts w:ascii="Lato" w:hAnsi="Lato"/>
                <w:color w:val="595959" w:themeColor="text1" w:themeTint="A6"/>
                <w:lang w:val="es-ES"/>
              </w:rPr>
              <w:t>Proyecto / Fuente financiera</w:t>
            </w:r>
            <w:r w:rsidRPr="00782B30">
              <w:rPr>
                <w:rFonts w:ascii="Lato" w:hAnsi="Lato"/>
                <w:color w:val="595959" w:themeColor="text1" w:themeTint="A6"/>
                <w:vertAlign w:val="superscript"/>
                <w:lang w:val="es-ES"/>
              </w:rPr>
              <w:t>2</w:t>
            </w:r>
            <w:r w:rsidRPr="001F4FF6">
              <w:rPr>
                <w:rFonts w:ascii="Lato" w:hAnsi="Lato"/>
                <w:color w:val="595959" w:themeColor="text1" w:themeTint="A6"/>
                <w:lang w:val="es-ES"/>
              </w:rPr>
              <w:t xml:space="preserve"> </w:t>
            </w:r>
          </w:p>
        </w:tc>
      </w:tr>
      <w:tr w:rsidR="00C90843" w:rsidRPr="001F4FF6" w:rsidTr="00B211B4">
        <w:trPr>
          <w:jc w:val="center"/>
        </w:trPr>
        <w:tc>
          <w:tcPr>
            <w:tcW w:w="0" w:type="auto"/>
          </w:tcPr>
          <w:p w:rsidR="00C90843" w:rsidRPr="001F4FF6" w:rsidRDefault="00C90843" w:rsidP="00B211B4">
            <w:pPr>
              <w:keepLines/>
              <w:spacing w:before="120" w:after="120"/>
              <w:jc w:val="both"/>
              <w:rPr>
                <w:rFonts w:ascii="Lato" w:hAnsi="Lato"/>
                <w:color w:val="595959" w:themeColor="text1" w:themeTint="A6"/>
                <w:lang w:val="es-ES"/>
              </w:rPr>
            </w:pPr>
            <w:r w:rsidRPr="001F4FF6">
              <w:rPr>
                <w:rFonts w:ascii="Lato" w:hAnsi="Lato"/>
                <w:color w:val="595959" w:themeColor="text1" w:themeTint="A6"/>
                <w:lang w:val="es-ES"/>
              </w:rPr>
              <w:t>1</w:t>
            </w:r>
          </w:p>
        </w:tc>
        <w:tc>
          <w:tcPr>
            <w:tcW w:w="0" w:type="auto"/>
          </w:tcPr>
          <w:p w:rsidR="00C90843" w:rsidRPr="001F4FF6" w:rsidRDefault="00C90843" w:rsidP="00B211B4">
            <w:pPr>
              <w:keepLines/>
              <w:spacing w:before="120" w:after="120"/>
              <w:rPr>
                <w:rFonts w:ascii="Lato" w:hAnsi="Lato"/>
                <w:color w:val="595959" w:themeColor="text1" w:themeTint="A6"/>
                <w:lang w:val="es-ES"/>
              </w:rPr>
            </w:pPr>
            <w:r w:rsidRPr="001F4FF6">
              <w:rPr>
                <w:rFonts w:ascii="Lato" w:hAnsi="Lato"/>
                <w:color w:val="595959" w:themeColor="text1" w:themeTint="A6"/>
                <w:lang w:val="es-ES"/>
              </w:rPr>
              <w:t>RB Calakmul</w:t>
            </w:r>
          </w:p>
        </w:tc>
        <w:tc>
          <w:tcPr>
            <w:tcW w:w="0" w:type="auto"/>
            <w:shd w:val="clear" w:color="auto" w:fill="516EE9"/>
          </w:tcPr>
          <w:p w:rsidR="00C90843" w:rsidRPr="001F4FF6" w:rsidRDefault="00C90843" w:rsidP="00B211B4">
            <w:pPr>
              <w:keepLines/>
              <w:spacing w:before="120" w:after="120"/>
              <w:rPr>
                <w:rFonts w:ascii="Lato" w:hAnsi="Lato"/>
                <w:color w:val="FFFFFF" w:themeColor="background1"/>
                <w:lang w:val="es-ES"/>
              </w:rPr>
            </w:pPr>
            <w:r w:rsidRPr="001F4FF6">
              <w:rPr>
                <w:rFonts w:ascii="Lato" w:hAnsi="Lato"/>
                <w:color w:val="FFFFFF" w:themeColor="background1"/>
                <w:lang w:val="es-ES"/>
              </w:rPr>
              <w:t>FANP (FMAM)</w:t>
            </w:r>
          </w:p>
        </w:tc>
      </w:tr>
      <w:tr w:rsidR="00C90843" w:rsidRPr="001F4FF6" w:rsidTr="00B211B4">
        <w:trPr>
          <w:jc w:val="center"/>
        </w:trPr>
        <w:tc>
          <w:tcPr>
            <w:tcW w:w="0" w:type="auto"/>
          </w:tcPr>
          <w:p w:rsidR="00C90843" w:rsidRPr="001F4FF6" w:rsidRDefault="00C90843" w:rsidP="00B211B4">
            <w:pPr>
              <w:keepLines/>
              <w:spacing w:before="120" w:after="120"/>
              <w:jc w:val="both"/>
              <w:rPr>
                <w:rFonts w:ascii="Lato" w:hAnsi="Lato"/>
                <w:color w:val="595959" w:themeColor="text1" w:themeTint="A6"/>
                <w:lang w:val="es-ES"/>
              </w:rPr>
            </w:pPr>
            <w:r w:rsidRPr="001F4FF6">
              <w:rPr>
                <w:rFonts w:ascii="Lato" w:hAnsi="Lato"/>
                <w:color w:val="595959" w:themeColor="text1" w:themeTint="A6"/>
                <w:lang w:val="es-ES"/>
              </w:rPr>
              <w:t>2</w:t>
            </w:r>
          </w:p>
        </w:tc>
        <w:tc>
          <w:tcPr>
            <w:tcW w:w="0" w:type="auto"/>
          </w:tcPr>
          <w:p w:rsidR="00C90843" w:rsidRPr="001F4FF6" w:rsidRDefault="00C90843" w:rsidP="00B211B4">
            <w:pPr>
              <w:keepLines/>
              <w:spacing w:before="120" w:after="120"/>
              <w:rPr>
                <w:rFonts w:ascii="Lato" w:hAnsi="Lato"/>
                <w:color w:val="595959" w:themeColor="text1" w:themeTint="A6"/>
                <w:lang w:val="es-ES"/>
              </w:rPr>
            </w:pPr>
            <w:r w:rsidRPr="001F4FF6">
              <w:rPr>
                <w:rFonts w:ascii="Lato" w:hAnsi="Lato"/>
                <w:color w:val="595959" w:themeColor="text1" w:themeTint="A6"/>
                <w:lang w:val="es-ES"/>
              </w:rPr>
              <w:t>RB Ría Lagartos</w:t>
            </w:r>
          </w:p>
        </w:tc>
        <w:tc>
          <w:tcPr>
            <w:tcW w:w="0" w:type="auto"/>
            <w:shd w:val="clear" w:color="auto" w:fill="516EE9"/>
          </w:tcPr>
          <w:p w:rsidR="00C90843" w:rsidRPr="001F4FF6" w:rsidRDefault="00C90843" w:rsidP="00B211B4">
            <w:pPr>
              <w:keepLines/>
              <w:spacing w:before="120" w:after="120"/>
              <w:rPr>
                <w:rFonts w:ascii="Lato" w:hAnsi="Lato"/>
                <w:color w:val="FFFFFF" w:themeColor="background1"/>
                <w:lang w:val="es-ES"/>
              </w:rPr>
            </w:pPr>
            <w:r w:rsidRPr="001F4FF6">
              <w:rPr>
                <w:rFonts w:ascii="Lato" w:hAnsi="Lato"/>
                <w:color w:val="FFFFFF" w:themeColor="background1"/>
                <w:lang w:val="es-ES"/>
              </w:rPr>
              <w:t>FANP (FMAM)</w:t>
            </w:r>
          </w:p>
        </w:tc>
      </w:tr>
      <w:tr w:rsidR="00C90843" w:rsidRPr="001F4FF6" w:rsidTr="00B211B4">
        <w:trPr>
          <w:jc w:val="center"/>
        </w:trPr>
        <w:tc>
          <w:tcPr>
            <w:tcW w:w="0" w:type="auto"/>
          </w:tcPr>
          <w:p w:rsidR="00C90843" w:rsidRPr="001F4FF6" w:rsidRDefault="00C90843" w:rsidP="00B211B4">
            <w:pPr>
              <w:keepLines/>
              <w:spacing w:before="120" w:after="120"/>
              <w:jc w:val="both"/>
              <w:rPr>
                <w:rFonts w:ascii="Lato" w:hAnsi="Lato"/>
                <w:color w:val="595959" w:themeColor="text1" w:themeTint="A6"/>
                <w:lang w:val="es-ES"/>
              </w:rPr>
            </w:pPr>
            <w:r w:rsidRPr="001F4FF6">
              <w:rPr>
                <w:rFonts w:ascii="Lato" w:hAnsi="Lato"/>
                <w:color w:val="595959" w:themeColor="text1" w:themeTint="A6"/>
                <w:lang w:val="es-ES"/>
              </w:rPr>
              <w:t>3</w:t>
            </w:r>
          </w:p>
        </w:tc>
        <w:tc>
          <w:tcPr>
            <w:tcW w:w="0" w:type="auto"/>
          </w:tcPr>
          <w:p w:rsidR="00C90843" w:rsidRPr="001F4FF6" w:rsidRDefault="00C90843" w:rsidP="00B211B4">
            <w:pPr>
              <w:keepLines/>
              <w:spacing w:before="120" w:after="120"/>
              <w:rPr>
                <w:rFonts w:ascii="Lato" w:hAnsi="Lato"/>
                <w:color w:val="595959" w:themeColor="text1" w:themeTint="A6"/>
                <w:lang w:val="es-ES"/>
              </w:rPr>
            </w:pPr>
            <w:r w:rsidRPr="001F4FF6">
              <w:rPr>
                <w:rFonts w:ascii="Lato" w:hAnsi="Lato"/>
                <w:color w:val="595959" w:themeColor="text1" w:themeTint="A6"/>
                <w:lang w:val="es-ES"/>
              </w:rPr>
              <w:t>RB Sian Ka'an</w:t>
            </w:r>
          </w:p>
        </w:tc>
        <w:tc>
          <w:tcPr>
            <w:tcW w:w="0" w:type="auto"/>
            <w:shd w:val="clear" w:color="auto" w:fill="516EE9"/>
          </w:tcPr>
          <w:p w:rsidR="00C90843" w:rsidRPr="001F4FF6" w:rsidRDefault="00C90843" w:rsidP="00B211B4">
            <w:pPr>
              <w:keepLines/>
              <w:spacing w:before="120" w:after="120"/>
              <w:rPr>
                <w:rFonts w:ascii="Lato" w:hAnsi="Lato"/>
                <w:color w:val="FFFFFF" w:themeColor="background1"/>
                <w:lang w:val="es-ES"/>
              </w:rPr>
            </w:pPr>
            <w:r w:rsidRPr="001F4FF6">
              <w:rPr>
                <w:rFonts w:ascii="Lato" w:hAnsi="Lato"/>
                <w:color w:val="FFFFFF" w:themeColor="background1"/>
                <w:lang w:val="es-ES"/>
              </w:rPr>
              <w:t>FANP (FMAM)</w:t>
            </w:r>
          </w:p>
        </w:tc>
      </w:tr>
      <w:tr w:rsidR="00C90843" w:rsidRPr="001F4FF6" w:rsidTr="00B211B4">
        <w:trPr>
          <w:jc w:val="center"/>
        </w:trPr>
        <w:tc>
          <w:tcPr>
            <w:tcW w:w="0" w:type="auto"/>
          </w:tcPr>
          <w:p w:rsidR="00C90843" w:rsidRPr="001F4FF6" w:rsidRDefault="00C90843" w:rsidP="00B211B4">
            <w:pPr>
              <w:keepLines/>
              <w:spacing w:before="120" w:after="120"/>
              <w:jc w:val="both"/>
              <w:rPr>
                <w:rFonts w:ascii="Lato" w:hAnsi="Lato"/>
                <w:color w:val="595959" w:themeColor="text1" w:themeTint="A6"/>
                <w:lang w:val="es-ES"/>
              </w:rPr>
            </w:pPr>
            <w:r w:rsidRPr="001F4FF6">
              <w:rPr>
                <w:rFonts w:ascii="Lato" w:hAnsi="Lato"/>
                <w:color w:val="595959" w:themeColor="text1" w:themeTint="A6"/>
                <w:lang w:val="es-ES"/>
              </w:rPr>
              <w:t>4</w:t>
            </w:r>
          </w:p>
        </w:tc>
        <w:tc>
          <w:tcPr>
            <w:tcW w:w="0" w:type="auto"/>
          </w:tcPr>
          <w:p w:rsidR="00C90843" w:rsidRPr="001F4FF6" w:rsidRDefault="00C90843" w:rsidP="00B211B4">
            <w:pPr>
              <w:keepLines/>
              <w:spacing w:before="120" w:after="120"/>
              <w:rPr>
                <w:rFonts w:ascii="Lato" w:hAnsi="Lato"/>
                <w:color w:val="595959" w:themeColor="text1" w:themeTint="A6"/>
                <w:lang w:val="es-ES"/>
              </w:rPr>
            </w:pPr>
            <w:r w:rsidRPr="001F4FF6">
              <w:rPr>
                <w:rFonts w:ascii="Lato" w:hAnsi="Lato"/>
                <w:color w:val="595959" w:themeColor="text1" w:themeTint="A6"/>
                <w:lang w:val="es-ES"/>
              </w:rPr>
              <w:t>RB Montes Azules</w:t>
            </w:r>
          </w:p>
        </w:tc>
        <w:tc>
          <w:tcPr>
            <w:tcW w:w="0" w:type="auto"/>
            <w:shd w:val="clear" w:color="auto" w:fill="516EE9"/>
          </w:tcPr>
          <w:p w:rsidR="00C90843" w:rsidRPr="001F4FF6" w:rsidRDefault="00C90843" w:rsidP="00B211B4">
            <w:pPr>
              <w:keepLines/>
              <w:spacing w:before="120" w:after="120"/>
              <w:rPr>
                <w:rFonts w:ascii="Lato" w:hAnsi="Lato"/>
                <w:color w:val="FFFFFF" w:themeColor="background1"/>
                <w:lang w:val="es-ES"/>
              </w:rPr>
            </w:pPr>
            <w:r w:rsidRPr="001F4FF6">
              <w:rPr>
                <w:rFonts w:ascii="Lato" w:hAnsi="Lato"/>
                <w:color w:val="FFFFFF" w:themeColor="background1"/>
                <w:lang w:val="es-ES"/>
              </w:rPr>
              <w:t>FANP (FMAM)</w:t>
            </w:r>
          </w:p>
        </w:tc>
      </w:tr>
      <w:tr w:rsidR="00C90843" w:rsidRPr="001F4FF6" w:rsidTr="00B211B4">
        <w:trPr>
          <w:jc w:val="center"/>
        </w:trPr>
        <w:tc>
          <w:tcPr>
            <w:tcW w:w="0" w:type="auto"/>
          </w:tcPr>
          <w:p w:rsidR="00C90843" w:rsidRPr="001F4FF6" w:rsidRDefault="00C90843" w:rsidP="00B211B4">
            <w:pPr>
              <w:keepLines/>
              <w:spacing w:before="120" w:after="120"/>
              <w:jc w:val="both"/>
              <w:rPr>
                <w:rFonts w:ascii="Lato" w:hAnsi="Lato"/>
                <w:color w:val="595959" w:themeColor="text1" w:themeTint="A6"/>
                <w:lang w:val="es-ES"/>
              </w:rPr>
            </w:pPr>
            <w:r w:rsidRPr="001F4FF6">
              <w:rPr>
                <w:rFonts w:ascii="Lato" w:hAnsi="Lato"/>
                <w:color w:val="595959" w:themeColor="text1" w:themeTint="A6"/>
                <w:lang w:val="es-ES"/>
              </w:rPr>
              <w:t>5</w:t>
            </w:r>
          </w:p>
        </w:tc>
        <w:tc>
          <w:tcPr>
            <w:tcW w:w="0" w:type="auto"/>
          </w:tcPr>
          <w:p w:rsidR="00C90843" w:rsidRPr="001F4FF6" w:rsidRDefault="00C90843" w:rsidP="00B211B4">
            <w:pPr>
              <w:keepLines/>
              <w:spacing w:before="120" w:after="120"/>
              <w:rPr>
                <w:rFonts w:ascii="Lato" w:hAnsi="Lato"/>
                <w:color w:val="595959" w:themeColor="text1" w:themeTint="A6"/>
                <w:lang w:val="es-ES"/>
              </w:rPr>
            </w:pPr>
            <w:r w:rsidRPr="001F4FF6">
              <w:rPr>
                <w:rFonts w:ascii="Lato" w:hAnsi="Lato"/>
                <w:color w:val="595959" w:themeColor="text1" w:themeTint="A6"/>
                <w:lang w:val="es-ES"/>
              </w:rPr>
              <w:t>RB Selva El Ocote</w:t>
            </w:r>
          </w:p>
        </w:tc>
        <w:tc>
          <w:tcPr>
            <w:tcW w:w="0" w:type="auto"/>
            <w:shd w:val="clear" w:color="auto" w:fill="516EE9"/>
          </w:tcPr>
          <w:p w:rsidR="00C90843" w:rsidRPr="001F4FF6" w:rsidRDefault="00C90843" w:rsidP="00B211B4">
            <w:pPr>
              <w:keepLines/>
              <w:spacing w:before="120" w:after="120"/>
              <w:rPr>
                <w:rFonts w:ascii="Lato" w:hAnsi="Lato"/>
                <w:color w:val="FFFFFF" w:themeColor="background1"/>
                <w:lang w:val="es-ES"/>
              </w:rPr>
            </w:pPr>
            <w:r w:rsidRPr="001F4FF6">
              <w:rPr>
                <w:rFonts w:ascii="Lato" w:hAnsi="Lato"/>
                <w:color w:val="FFFFFF" w:themeColor="background1"/>
                <w:lang w:val="es-ES"/>
              </w:rPr>
              <w:t>FANP (FMAM)</w:t>
            </w:r>
          </w:p>
        </w:tc>
      </w:tr>
      <w:tr w:rsidR="00C90843" w:rsidRPr="001F4FF6" w:rsidTr="00B211B4">
        <w:trPr>
          <w:jc w:val="center"/>
        </w:trPr>
        <w:tc>
          <w:tcPr>
            <w:tcW w:w="0" w:type="auto"/>
          </w:tcPr>
          <w:p w:rsidR="00C90843" w:rsidRPr="001F4FF6" w:rsidRDefault="00C90843" w:rsidP="00B211B4">
            <w:pPr>
              <w:keepLines/>
              <w:spacing w:before="120" w:after="120"/>
              <w:jc w:val="both"/>
              <w:rPr>
                <w:rFonts w:ascii="Lato" w:hAnsi="Lato"/>
                <w:color w:val="595959" w:themeColor="text1" w:themeTint="A6"/>
                <w:lang w:val="es-ES"/>
              </w:rPr>
            </w:pPr>
            <w:r w:rsidRPr="001F4FF6">
              <w:rPr>
                <w:rFonts w:ascii="Lato" w:hAnsi="Lato"/>
                <w:color w:val="595959" w:themeColor="text1" w:themeTint="A6"/>
                <w:lang w:val="es-ES"/>
              </w:rPr>
              <w:t>6</w:t>
            </w:r>
          </w:p>
        </w:tc>
        <w:tc>
          <w:tcPr>
            <w:tcW w:w="0" w:type="auto"/>
          </w:tcPr>
          <w:p w:rsidR="00C90843" w:rsidRPr="001F4FF6" w:rsidRDefault="00C90843" w:rsidP="00B211B4">
            <w:pPr>
              <w:keepLines/>
              <w:spacing w:before="120" w:after="120"/>
              <w:rPr>
                <w:rFonts w:ascii="Lato" w:hAnsi="Lato"/>
                <w:color w:val="595959" w:themeColor="text1" w:themeTint="A6"/>
                <w:lang w:val="es-ES"/>
              </w:rPr>
            </w:pPr>
            <w:r w:rsidRPr="001F4FF6">
              <w:rPr>
                <w:rFonts w:ascii="Lato" w:hAnsi="Lato"/>
                <w:color w:val="595959" w:themeColor="text1" w:themeTint="A6"/>
                <w:lang w:val="es-ES"/>
              </w:rPr>
              <w:t>RB La Sepultura</w:t>
            </w:r>
          </w:p>
        </w:tc>
        <w:tc>
          <w:tcPr>
            <w:tcW w:w="0" w:type="auto"/>
            <w:shd w:val="clear" w:color="auto" w:fill="516EE9"/>
          </w:tcPr>
          <w:p w:rsidR="00C90843" w:rsidRPr="001F4FF6" w:rsidRDefault="00C90843" w:rsidP="00B211B4">
            <w:pPr>
              <w:keepLines/>
              <w:spacing w:before="120" w:after="120"/>
              <w:rPr>
                <w:rFonts w:ascii="Lato" w:hAnsi="Lato"/>
                <w:color w:val="FFFFFF" w:themeColor="background1"/>
                <w:lang w:val="es-ES"/>
              </w:rPr>
            </w:pPr>
            <w:r w:rsidRPr="001F4FF6">
              <w:rPr>
                <w:rFonts w:ascii="Lato" w:hAnsi="Lato"/>
                <w:color w:val="FFFFFF" w:themeColor="background1"/>
                <w:lang w:val="es-ES"/>
              </w:rPr>
              <w:t>FANP (FMAM)</w:t>
            </w:r>
          </w:p>
        </w:tc>
      </w:tr>
      <w:tr w:rsidR="00C90843" w:rsidRPr="001F4FF6" w:rsidTr="00B211B4">
        <w:trPr>
          <w:jc w:val="center"/>
        </w:trPr>
        <w:tc>
          <w:tcPr>
            <w:tcW w:w="0" w:type="auto"/>
          </w:tcPr>
          <w:p w:rsidR="00C90843" w:rsidRPr="001F4FF6" w:rsidRDefault="00C90843" w:rsidP="00B211B4">
            <w:pPr>
              <w:keepLines/>
              <w:spacing w:before="120" w:after="120"/>
              <w:jc w:val="both"/>
              <w:rPr>
                <w:rFonts w:ascii="Lato" w:hAnsi="Lato"/>
                <w:color w:val="595959" w:themeColor="text1" w:themeTint="A6"/>
                <w:lang w:val="es-ES"/>
              </w:rPr>
            </w:pPr>
            <w:r w:rsidRPr="001F4FF6">
              <w:rPr>
                <w:rFonts w:ascii="Lato" w:hAnsi="Lato"/>
                <w:color w:val="595959" w:themeColor="text1" w:themeTint="A6"/>
                <w:lang w:val="es-ES"/>
              </w:rPr>
              <w:t>7</w:t>
            </w:r>
          </w:p>
        </w:tc>
        <w:tc>
          <w:tcPr>
            <w:tcW w:w="0" w:type="auto"/>
          </w:tcPr>
          <w:p w:rsidR="00C90843" w:rsidRPr="001F4FF6" w:rsidRDefault="00C90843" w:rsidP="00B211B4">
            <w:pPr>
              <w:keepLines/>
              <w:spacing w:before="120" w:after="120"/>
              <w:rPr>
                <w:rFonts w:ascii="Lato" w:hAnsi="Lato"/>
                <w:color w:val="595959" w:themeColor="text1" w:themeTint="A6"/>
                <w:lang w:val="es-ES"/>
              </w:rPr>
            </w:pPr>
            <w:r w:rsidRPr="001F4FF6">
              <w:rPr>
                <w:rFonts w:ascii="Lato" w:hAnsi="Lato"/>
                <w:color w:val="595959" w:themeColor="text1" w:themeTint="A6"/>
                <w:lang w:val="es-ES"/>
              </w:rPr>
              <w:t>RB La Encrucijada</w:t>
            </w:r>
          </w:p>
        </w:tc>
        <w:tc>
          <w:tcPr>
            <w:tcW w:w="0" w:type="auto"/>
            <w:shd w:val="clear" w:color="auto" w:fill="516EE9"/>
          </w:tcPr>
          <w:p w:rsidR="00C90843" w:rsidRPr="001F4FF6" w:rsidRDefault="00C90843" w:rsidP="00B211B4">
            <w:pPr>
              <w:keepLines/>
              <w:spacing w:before="120" w:after="120"/>
              <w:rPr>
                <w:rFonts w:ascii="Lato" w:hAnsi="Lato"/>
                <w:color w:val="FFFFFF" w:themeColor="background1"/>
                <w:lang w:val="es-ES"/>
              </w:rPr>
            </w:pPr>
            <w:r w:rsidRPr="001F4FF6">
              <w:rPr>
                <w:rFonts w:ascii="Lato" w:hAnsi="Lato"/>
                <w:color w:val="FFFFFF" w:themeColor="background1"/>
                <w:lang w:val="es-ES"/>
              </w:rPr>
              <w:t>FANP (FMAM)</w:t>
            </w:r>
          </w:p>
        </w:tc>
      </w:tr>
      <w:tr w:rsidR="00C90843" w:rsidRPr="001F4FF6" w:rsidTr="00B211B4">
        <w:trPr>
          <w:jc w:val="center"/>
        </w:trPr>
        <w:tc>
          <w:tcPr>
            <w:tcW w:w="0" w:type="auto"/>
          </w:tcPr>
          <w:p w:rsidR="00C90843" w:rsidRPr="001F4FF6" w:rsidRDefault="00C90843" w:rsidP="00B211B4">
            <w:pPr>
              <w:keepLines/>
              <w:spacing w:before="120" w:after="120"/>
              <w:jc w:val="both"/>
              <w:rPr>
                <w:rFonts w:ascii="Lato" w:hAnsi="Lato"/>
                <w:color w:val="595959" w:themeColor="text1" w:themeTint="A6"/>
                <w:lang w:val="es-ES"/>
              </w:rPr>
            </w:pPr>
            <w:r w:rsidRPr="001F4FF6">
              <w:rPr>
                <w:rFonts w:ascii="Lato" w:hAnsi="Lato"/>
                <w:color w:val="595959" w:themeColor="text1" w:themeTint="A6"/>
                <w:lang w:val="es-ES"/>
              </w:rPr>
              <w:t>8</w:t>
            </w:r>
          </w:p>
        </w:tc>
        <w:tc>
          <w:tcPr>
            <w:tcW w:w="0" w:type="auto"/>
          </w:tcPr>
          <w:p w:rsidR="00C90843" w:rsidRPr="001F4FF6" w:rsidRDefault="00C90843" w:rsidP="00B211B4">
            <w:pPr>
              <w:keepLines/>
              <w:spacing w:before="120" w:after="120"/>
              <w:rPr>
                <w:rFonts w:ascii="Lato" w:hAnsi="Lato"/>
                <w:color w:val="595959" w:themeColor="text1" w:themeTint="A6"/>
                <w:lang w:val="es-ES"/>
              </w:rPr>
            </w:pPr>
            <w:r w:rsidRPr="001F4FF6">
              <w:rPr>
                <w:rFonts w:ascii="Lato" w:hAnsi="Lato"/>
                <w:color w:val="595959" w:themeColor="text1" w:themeTint="A6"/>
                <w:lang w:val="es-ES"/>
              </w:rPr>
              <w:t>APFF Corredor Biológico Chichinautzin</w:t>
            </w:r>
          </w:p>
        </w:tc>
        <w:tc>
          <w:tcPr>
            <w:tcW w:w="0" w:type="auto"/>
            <w:shd w:val="clear" w:color="auto" w:fill="CC00CC"/>
          </w:tcPr>
          <w:p w:rsidR="00C90843" w:rsidRPr="001F4FF6" w:rsidRDefault="00C90843" w:rsidP="00B211B4">
            <w:pPr>
              <w:keepLines/>
              <w:spacing w:before="120" w:after="120"/>
              <w:rPr>
                <w:rFonts w:ascii="Lato" w:hAnsi="Lato"/>
                <w:color w:val="FFFFFF" w:themeColor="background1"/>
                <w:lang w:val="es-ES"/>
              </w:rPr>
            </w:pPr>
            <w:r w:rsidRPr="001F4FF6">
              <w:rPr>
                <w:rFonts w:ascii="Lato" w:hAnsi="Lato"/>
                <w:color w:val="FFFFFF" w:themeColor="background1"/>
                <w:lang w:val="es-ES"/>
              </w:rPr>
              <w:t>FANP (FMAM)</w:t>
            </w:r>
            <w:r>
              <w:rPr>
                <w:rFonts w:ascii="Lato" w:hAnsi="Lato"/>
                <w:color w:val="FFFFFF" w:themeColor="background1"/>
                <w:lang w:val="es-ES"/>
              </w:rPr>
              <w:t>/CoSMoS*</w:t>
            </w:r>
          </w:p>
        </w:tc>
      </w:tr>
      <w:tr w:rsidR="00C90843" w:rsidRPr="001F4FF6" w:rsidTr="00B211B4">
        <w:trPr>
          <w:jc w:val="center"/>
        </w:trPr>
        <w:tc>
          <w:tcPr>
            <w:tcW w:w="0" w:type="auto"/>
          </w:tcPr>
          <w:p w:rsidR="00C90843" w:rsidRPr="001F4FF6" w:rsidRDefault="00C90843" w:rsidP="00B211B4">
            <w:pPr>
              <w:keepLines/>
              <w:spacing w:before="120" w:after="120"/>
              <w:jc w:val="both"/>
              <w:rPr>
                <w:rFonts w:ascii="Lato" w:hAnsi="Lato"/>
                <w:color w:val="595959" w:themeColor="text1" w:themeTint="A6"/>
                <w:lang w:val="es-ES"/>
              </w:rPr>
            </w:pPr>
            <w:r w:rsidRPr="001F4FF6">
              <w:rPr>
                <w:rFonts w:ascii="Lato" w:hAnsi="Lato"/>
                <w:color w:val="595959" w:themeColor="text1" w:themeTint="A6"/>
                <w:lang w:val="es-ES"/>
              </w:rPr>
              <w:t>9</w:t>
            </w:r>
          </w:p>
        </w:tc>
        <w:tc>
          <w:tcPr>
            <w:tcW w:w="0" w:type="auto"/>
          </w:tcPr>
          <w:p w:rsidR="00C90843" w:rsidRPr="001F4FF6" w:rsidRDefault="00C90843" w:rsidP="00B211B4">
            <w:pPr>
              <w:keepLines/>
              <w:spacing w:before="120" w:after="120"/>
              <w:rPr>
                <w:rFonts w:ascii="Lato" w:hAnsi="Lato"/>
                <w:color w:val="595959" w:themeColor="text1" w:themeTint="A6"/>
                <w:lang w:val="es-ES"/>
              </w:rPr>
            </w:pPr>
            <w:r w:rsidRPr="001F4FF6">
              <w:rPr>
                <w:rFonts w:ascii="Lato" w:hAnsi="Lato"/>
                <w:color w:val="595959" w:themeColor="text1" w:themeTint="A6"/>
                <w:lang w:val="es-ES"/>
              </w:rPr>
              <w:t>PN Lagunas de Zempoala</w:t>
            </w:r>
          </w:p>
        </w:tc>
        <w:tc>
          <w:tcPr>
            <w:tcW w:w="0" w:type="auto"/>
            <w:shd w:val="clear" w:color="auto" w:fill="CC00CC"/>
          </w:tcPr>
          <w:p w:rsidR="00C90843" w:rsidRPr="001F4FF6" w:rsidRDefault="00C90843" w:rsidP="00B211B4">
            <w:pPr>
              <w:keepLines/>
              <w:spacing w:before="120" w:after="120"/>
              <w:rPr>
                <w:rFonts w:ascii="Lato" w:hAnsi="Lato"/>
                <w:color w:val="FFFFFF" w:themeColor="background1"/>
                <w:lang w:val="es-ES"/>
              </w:rPr>
            </w:pPr>
            <w:r w:rsidRPr="001F4FF6">
              <w:rPr>
                <w:rFonts w:ascii="Lato" w:hAnsi="Lato"/>
                <w:color w:val="FFFFFF" w:themeColor="background1"/>
                <w:lang w:val="es-ES"/>
              </w:rPr>
              <w:t>FANP (FMAM)</w:t>
            </w:r>
            <w:r>
              <w:rPr>
                <w:rFonts w:ascii="Lato" w:hAnsi="Lato"/>
                <w:color w:val="FFFFFF" w:themeColor="background1"/>
                <w:lang w:val="es-ES"/>
              </w:rPr>
              <w:t>/CoSMoS*</w:t>
            </w:r>
          </w:p>
        </w:tc>
      </w:tr>
      <w:tr w:rsidR="00C90843" w:rsidRPr="001F4FF6" w:rsidTr="00B211B4">
        <w:trPr>
          <w:jc w:val="center"/>
        </w:trPr>
        <w:tc>
          <w:tcPr>
            <w:tcW w:w="0" w:type="auto"/>
          </w:tcPr>
          <w:p w:rsidR="00C90843" w:rsidRPr="001F4FF6" w:rsidRDefault="00C90843" w:rsidP="00B211B4">
            <w:pPr>
              <w:keepLines/>
              <w:spacing w:before="120" w:after="120"/>
              <w:jc w:val="both"/>
              <w:rPr>
                <w:rFonts w:ascii="Lato" w:hAnsi="Lato"/>
                <w:color w:val="595959" w:themeColor="text1" w:themeTint="A6"/>
                <w:lang w:val="es-ES"/>
              </w:rPr>
            </w:pPr>
            <w:r w:rsidRPr="001F4FF6">
              <w:rPr>
                <w:rFonts w:ascii="Lato" w:hAnsi="Lato"/>
                <w:color w:val="595959" w:themeColor="text1" w:themeTint="A6"/>
                <w:lang w:val="es-ES"/>
              </w:rPr>
              <w:t>10</w:t>
            </w:r>
          </w:p>
        </w:tc>
        <w:tc>
          <w:tcPr>
            <w:tcW w:w="0" w:type="auto"/>
          </w:tcPr>
          <w:p w:rsidR="00C90843" w:rsidRPr="001F4FF6" w:rsidRDefault="00C90843" w:rsidP="00B211B4">
            <w:pPr>
              <w:keepLines/>
              <w:spacing w:before="120" w:after="120"/>
              <w:rPr>
                <w:rFonts w:ascii="Lato" w:hAnsi="Lato"/>
                <w:color w:val="595959" w:themeColor="text1" w:themeTint="A6"/>
                <w:lang w:val="es-ES"/>
              </w:rPr>
            </w:pPr>
            <w:r w:rsidRPr="001F4FF6">
              <w:rPr>
                <w:rFonts w:ascii="Lato" w:hAnsi="Lato"/>
                <w:color w:val="595959" w:themeColor="text1" w:themeTint="A6"/>
                <w:lang w:val="es-ES"/>
              </w:rPr>
              <w:t>PN El Tepozteco</w:t>
            </w:r>
          </w:p>
        </w:tc>
        <w:tc>
          <w:tcPr>
            <w:tcW w:w="0" w:type="auto"/>
            <w:shd w:val="clear" w:color="auto" w:fill="CC00CC"/>
          </w:tcPr>
          <w:p w:rsidR="00C90843" w:rsidRPr="001F4FF6" w:rsidRDefault="00C90843" w:rsidP="00B211B4">
            <w:pPr>
              <w:keepLines/>
              <w:spacing w:before="120" w:after="120"/>
              <w:rPr>
                <w:rFonts w:ascii="Lato" w:hAnsi="Lato"/>
                <w:color w:val="FFFFFF" w:themeColor="background1"/>
                <w:lang w:val="es-ES"/>
              </w:rPr>
            </w:pPr>
            <w:r w:rsidRPr="001F4FF6">
              <w:rPr>
                <w:rFonts w:ascii="Lato" w:hAnsi="Lato"/>
                <w:color w:val="FFFFFF" w:themeColor="background1"/>
                <w:lang w:val="es-ES"/>
              </w:rPr>
              <w:t>FANP (FMAM)</w:t>
            </w:r>
            <w:r>
              <w:rPr>
                <w:rFonts w:ascii="Lato" w:hAnsi="Lato"/>
                <w:color w:val="FFFFFF" w:themeColor="background1"/>
                <w:lang w:val="es-ES"/>
              </w:rPr>
              <w:t>/CoSMoS*</w:t>
            </w:r>
          </w:p>
        </w:tc>
      </w:tr>
      <w:tr w:rsidR="00C90843" w:rsidRPr="001F4FF6" w:rsidTr="00B211B4">
        <w:trPr>
          <w:jc w:val="center"/>
        </w:trPr>
        <w:tc>
          <w:tcPr>
            <w:tcW w:w="0" w:type="auto"/>
          </w:tcPr>
          <w:p w:rsidR="00C90843" w:rsidRPr="001F4FF6" w:rsidRDefault="00C90843" w:rsidP="00B211B4">
            <w:pPr>
              <w:keepLines/>
              <w:spacing w:before="120" w:after="120"/>
              <w:jc w:val="both"/>
              <w:rPr>
                <w:rFonts w:ascii="Lato" w:hAnsi="Lato"/>
                <w:color w:val="595959" w:themeColor="text1" w:themeTint="A6"/>
                <w:lang w:val="es-ES"/>
              </w:rPr>
            </w:pPr>
            <w:r w:rsidRPr="001F4FF6">
              <w:rPr>
                <w:rFonts w:ascii="Lato" w:hAnsi="Lato"/>
                <w:color w:val="595959" w:themeColor="text1" w:themeTint="A6"/>
                <w:lang w:val="es-ES"/>
              </w:rPr>
              <w:t>11</w:t>
            </w:r>
          </w:p>
        </w:tc>
        <w:tc>
          <w:tcPr>
            <w:tcW w:w="0" w:type="auto"/>
          </w:tcPr>
          <w:p w:rsidR="00C90843" w:rsidRPr="001F4FF6" w:rsidRDefault="00C90843" w:rsidP="00B211B4">
            <w:pPr>
              <w:keepLines/>
              <w:spacing w:before="120" w:after="120"/>
              <w:rPr>
                <w:rFonts w:ascii="Lato" w:hAnsi="Lato"/>
                <w:color w:val="595959" w:themeColor="text1" w:themeTint="A6"/>
                <w:lang w:val="es-ES"/>
              </w:rPr>
            </w:pPr>
            <w:r w:rsidRPr="001F4FF6">
              <w:rPr>
                <w:rFonts w:ascii="Lato" w:hAnsi="Lato"/>
                <w:color w:val="595959" w:themeColor="text1" w:themeTint="A6"/>
                <w:lang w:val="es-ES"/>
              </w:rPr>
              <w:t>RB Tehuacán – Cuicatlán</w:t>
            </w:r>
          </w:p>
        </w:tc>
        <w:tc>
          <w:tcPr>
            <w:tcW w:w="0" w:type="auto"/>
            <w:shd w:val="clear" w:color="auto" w:fill="516EE9"/>
          </w:tcPr>
          <w:p w:rsidR="00C90843" w:rsidRPr="001F4FF6" w:rsidRDefault="00C90843" w:rsidP="00B211B4">
            <w:pPr>
              <w:keepLines/>
              <w:spacing w:before="120" w:after="120"/>
              <w:rPr>
                <w:rFonts w:ascii="Lato" w:hAnsi="Lato"/>
                <w:color w:val="FFFFFF" w:themeColor="background1"/>
                <w:lang w:val="es-ES"/>
              </w:rPr>
            </w:pPr>
            <w:r w:rsidRPr="001F4FF6">
              <w:rPr>
                <w:rFonts w:ascii="Lato" w:hAnsi="Lato"/>
                <w:color w:val="FFFFFF" w:themeColor="background1"/>
                <w:lang w:val="es-ES"/>
              </w:rPr>
              <w:t>FANP (FMAM)</w:t>
            </w:r>
          </w:p>
        </w:tc>
      </w:tr>
      <w:tr w:rsidR="00C90843" w:rsidRPr="001F4FF6" w:rsidTr="00B211B4">
        <w:trPr>
          <w:jc w:val="center"/>
        </w:trPr>
        <w:tc>
          <w:tcPr>
            <w:tcW w:w="0" w:type="auto"/>
          </w:tcPr>
          <w:p w:rsidR="00C90843" w:rsidRPr="001F4FF6" w:rsidRDefault="00C90843" w:rsidP="00B211B4">
            <w:pPr>
              <w:keepLines/>
              <w:spacing w:before="120" w:after="120"/>
              <w:jc w:val="both"/>
              <w:rPr>
                <w:rFonts w:ascii="Lato" w:hAnsi="Lato"/>
                <w:color w:val="595959" w:themeColor="text1" w:themeTint="A6"/>
                <w:lang w:val="es-ES"/>
              </w:rPr>
            </w:pPr>
            <w:r w:rsidRPr="001F4FF6">
              <w:rPr>
                <w:rFonts w:ascii="Lato" w:hAnsi="Lato"/>
                <w:color w:val="595959" w:themeColor="text1" w:themeTint="A6"/>
                <w:lang w:val="es-ES"/>
              </w:rPr>
              <w:t>12</w:t>
            </w:r>
          </w:p>
        </w:tc>
        <w:tc>
          <w:tcPr>
            <w:tcW w:w="0" w:type="auto"/>
          </w:tcPr>
          <w:p w:rsidR="00C90843" w:rsidRPr="001F4FF6" w:rsidRDefault="00C90843" w:rsidP="00B211B4">
            <w:pPr>
              <w:keepLines/>
              <w:spacing w:before="120" w:after="120"/>
              <w:rPr>
                <w:rFonts w:ascii="Lato" w:hAnsi="Lato"/>
                <w:color w:val="595959" w:themeColor="text1" w:themeTint="A6"/>
                <w:lang w:val="es-ES"/>
              </w:rPr>
            </w:pPr>
            <w:r w:rsidRPr="001F4FF6">
              <w:rPr>
                <w:rFonts w:ascii="Lato" w:hAnsi="Lato"/>
                <w:color w:val="595959" w:themeColor="text1" w:themeTint="A6"/>
                <w:lang w:val="es-ES"/>
              </w:rPr>
              <w:t>RB Mariposa Monarca</w:t>
            </w:r>
          </w:p>
        </w:tc>
        <w:tc>
          <w:tcPr>
            <w:tcW w:w="0" w:type="auto"/>
            <w:shd w:val="clear" w:color="auto" w:fill="CC00CC"/>
          </w:tcPr>
          <w:p w:rsidR="00C90843" w:rsidRPr="001F4FF6" w:rsidRDefault="00C90843" w:rsidP="00B211B4">
            <w:pPr>
              <w:keepLines/>
              <w:spacing w:before="120" w:after="120"/>
              <w:rPr>
                <w:rFonts w:ascii="Lato" w:hAnsi="Lato"/>
                <w:color w:val="FFFFFF" w:themeColor="background1"/>
                <w:lang w:val="es-ES"/>
              </w:rPr>
            </w:pPr>
            <w:r w:rsidRPr="001F4FF6">
              <w:rPr>
                <w:rFonts w:ascii="Lato" w:hAnsi="Lato"/>
                <w:color w:val="FFFFFF" w:themeColor="background1"/>
                <w:lang w:val="es-ES"/>
              </w:rPr>
              <w:t>FANP (FMAM)</w:t>
            </w:r>
            <w:r>
              <w:rPr>
                <w:rFonts w:ascii="Lato" w:hAnsi="Lato"/>
                <w:color w:val="FFFFFF" w:themeColor="background1"/>
                <w:lang w:val="es-ES"/>
              </w:rPr>
              <w:t>/CoSMoS*</w:t>
            </w:r>
          </w:p>
        </w:tc>
      </w:tr>
      <w:tr w:rsidR="00C90843" w:rsidRPr="001F4FF6" w:rsidTr="00B211B4">
        <w:trPr>
          <w:jc w:val="center"/>
        </w:trPr>
        <w:tc>
          <w:tcPr>
            <w:tcW w:w="0" w:type="auto"/>
          </w:tcPr>
          <w:p w:rsidR="00C90843" w:rsidRPr="001F4FF6" w:rsidRDefault="00C90843" w:rsidP="00B211B4">
            <w:pPr>
              <w:keepLines/>
              <w:spacing w:before="120" w:after="120"/>
              <w:jc w:val="both"/>
              <w:rPr>
                <w:rFonts w:ascii="Lato" w:hAnsi="Lato"/>
                <w:color w:val="595959" w:themeColor="text1" w:themeTint="A6"/>
                <w:lang w:val="es-ES"/>
              </w:rPr>
            </w:pPr>
            <w:r w:rsidRPr="001F4FF6">
              <w:rPr>
                <w:rFonts w:ascii="Lato" w:hAnsi="Lato"/>
                <w:color w:val="595959" w:themeColor="text1" w:themeTint="A6"/>
                <w:lang w:val="es-ES"/>
              </w:rPr>
              <w:t>13</w:t>
            </w:r>
          </w:p>
        </w:tc>
        <w:tc>
          <w:tcPr>
            <w:tcW w:w="0" w:type="auto"/>
          </w:tcPr>
          <w:p w:rsidR="00C90843" w:rsidRPr="001F4FF6" w:rsidRDefault="00C90843" w:rsidP="00B211B4">
            <w:pPr>
              <w:keepLines/>
              <w:spacing w:before="120" w:after="120"/>
              <w:rPr>
                <w:rFonts w:ascii="Lato" w:hAnsi="Lato"/>
                <w:color w:val="595959" w:themeColor="text1" w:themeTint="A6"/>
                <w:lang w:val="es-ES"/>
              </w:rPr>
            </w:pPr>
            <w:r w:rsidRPr="001F4FF6">
              <w:rPr>
                <w:rFonts w:ascii="Lato" w:hAnsi="Lato"/>
                <w:color w:val="595959" w:themeColor="text1" w:themeTint="A6"/>
                <w:lang w:val="es-ES"/>
              </w:rPr>
              <w:t>RB Mapimí</w:t>
            </w:r>
          </w:p>
        </w:tc>
        <w:tc>
          <w:tcPr>
            <w:tcW w:w="0" w:type="auto"/>
            <w:shd w:val="clear" w:color="auto" w:fill="516EE9"/>
          </w:tcPr>
          <w:p w:rsidR="00C90843" w:rsidRPr="001F4FF6" w:rsidRDefault="00C90843" w:rsidP="00B211B4">
            <w:pPr>
              <w:keepLines/>
              <w:spacing w:before="120" w:after="120"/>
              <w:rPr>
                <w:rFonts w:ascii="Lato" w:hAnsi="Lato"/>
                <w:color w:val="FFFFFF" w:themeColor="background1"/>
                <w:lang w:val="es-ES"/>
              </w:rPr>
            </w:pPr>
            <w:r w:rsidRPr="001F4FF6">
              <w:rPr>
                <w:rFonts w:ascii="Lato" w:hAnsi="Lato"/>
                <w:color w:val="FFFFFF" w:themeColor="background1"/>
                <w:lang w:val="es-ES"/>
              </w:rPr>
              <w:t>FANP (FMAM)</w:t>
            </w:r>
          </w:p>
        </w:tc>
      </w:tr>
      <w:tr w:rsidR="00C90843" w:rsidRPr="001F4FF6" w:rsidTr="00B211B4">
        <w:trPr>
          <w:jc w:val="center"/>
        </w:trPr>
        <w:tc>
          <w:tcPr>
            <w:tcW w:w="0" w:type="auto"/>
          </w:tcPr>
          <w:p w:rsidR="00C90843" w:rsidRPr="001F4FF6" w:rsidRDefault="00C90843" w:rsidP="00B211B4">
            <w:pPr>
              <w:keepLines/>
              <w:spacing w:before="120" w:after="120"/>
              <w:jc w:val="both"/>
              <w:rPr>
                <w:rFonts w:ascii="Lato" w:hAnsi="Lato"/>
                <w:color w:val="595959" w:themeColor="text1" w:themeTint="A6"/>
                <w:lang w:val="es-ES"/>
              </w:rPr>
            </w:pPr>
            <w:r w:rsidRPr="001F4FF6">
              <w:rPr>
                <w:rFonts w:ascii="Lato" w:hAnsi="Lato"/>
                <w:color w:val="595959" w:themeColor="text1" w:themeTint="A6"/>
                <w:lang w:val="es-ES"/>
              </w:rPr>
              <w:t>14</w:t>
            </w:r>
          </w:p>
        </w:tc>
        <w:tc>
          <w:tcPr>
            <w:tcW w:w="0" w:type="auto"/>
          </w:tcPr>
          <w:p w:rsidR="00C90843" w:rsidRPr="001F4FF6" w:rsidRDefault="00C90843" w:rsidP="00B211B4">
            <w:pPr>
              <w:keepLines/>
              <w:spacing w:before="120" w:after="120"/>
              <w:rPr>
                <w:rFonts w:ascii="Lato" w:hAnsi="Lato"/>
                <w:color w:val="595959" w:themeColor="text1" w:themeTint="A6"/>
                <w:lang w:val="es-ES"/>
              </w:rPr>
            </w:pPr>
            <w:r w:rsidRPr="001F4FF6">
              <w:rPr>
                <w:rFonts w:ascii="Lato" w:hAnsi="Lato"/>
                <w:color w:val="595959" w:themeColor="text1" w:themeTint="A6"/>
                <w:lang w:val="es-ES"/>
              </w:rPr>
              <w:t>APFF Cuatrociénegas</w:t>
            </w:r>
          </w:p>
        </w:tc>
        <w:tc>
          <w:tcPr>
            <w:tcW w:w="0" w:type="auto"/>
            <w:shd w:val="clear" w:color="auto" w:fill="516EE9"/>
          </w:tcPr>
          <w:p w:rsidR="00C90843" w:rsidRPr="001F4FF6" w:rsidRDefault="00C90843" w:rsidP="00B211B4">
            <w:pPr>
              <w:keepLines/>
              <w:spacing w:before="120" w:after="120"/>
              <w:rPr>
                <w:rFonts w:ascii="Lato" w:hAnsi="Lato"/>
                <w:color w:val="FFFFFF" w:themeColor="background1"/>
                <w:lang w:val="es-ES"/>
              </w:rPr>
            </w:pPr>
            <w:r w:rsidRPr="001F4FF6">
              <w:rPr>
                <w:rFonts w:ascii="Lato" w:hAnsi="Lato"/>
                <w:color w:val="FFFFFF" w:themeColor="background1"/>
                <w:lang w:val="es-ES"/>
              </w:rPr>
              <w:t>FANP (FMAM)</w:t>
            </w:r>
          </w:p>
        </w:tc>
      </w:tr>
      <w:tr w:rsidR="00C90843" w:rsidRPr="001F4FF6" w:rsidTr="00B211B4">
        <w:trPr>
          <w:jc w:val="center"/>
        </w:trPr>
        <w:tc>
          <w:tcPr>
            <w:tcW w:w="0" w:type="auto"/>
          </w:tcPr>
          <w:p w:rsidR="00C90843" w:rsidRPr="001F4FF6" w:rsidRDefault="00C90843" w:rsidP="00B211B4">
            <w:pPr>
              <w:keepLines/>
              <w:spacing w:before="120" w:after="120"/>
              <w:jc w:val="both"/>
              <w:rPr>
                <w:rFonts w:ascii="Lato" w:hAnsi="Lato"/>
                <w:color w:val="595959" w:themeColor="text1" w:themeTint="A6"/>
                <w:lang w:val="es-ES"/>
              </w:rPr>
            </w:pPr>
            <w:r w:rsidRPr="001F4FF6">
              <w:rPr>
                <w:rFonts w:ascii="Lato" w:hAnsi="Lato"/>
                <w:color w:val="595959" w:themeColor="text1" w:themeTint="A6"/>
                <w:lang w:val="es-ES"/>
              </w:rPr>
              <w:t>15</w:t>
            </w:r>
          </w:p>
        </w:tc>
        <w:tc>
          <w:tcPr>
            <w:tcW w:w="0" w:type="auto"/>
          </w:tcPr>
          <w:p w:rsidR="00C90843" w:rsidRPr="001F4FF6" w:rsidRDefault="00C90843" w:rsidP="00B211B4">
            <w:pPr>
              <w:keepLines/>
              <w:spacing w:before="120" w:after="120"/>
              <w:rPr>
                <w:rFonts w:ascii="Lato" w:hAnsi="Lato"/>
                <w:color w:val="595959" w:themeColor="text1" w:themeTint="A6"/>
                <w:lang w:val="es-ES"/>
              </w:rPr>
            </w:pPr>
            <w:r w:rsidRPr="001F4FF6">
              <w:rPr>
                <w:rFonts w:ascii="Lato" w:hAnsi="Lato"/>
                <w:color w:val="595959" w:themeColor="text1" w:themeTint="A6"/>
                <w:lang w:val="es-ES"/>
              </w:rPr>
              <w:t>APFF Maderas del Carmen</w:t>
            </w:r>
          </w:p>
        </w:tc>
        <w:tc>
          <w:tcPr>
            <w:tcW w:w="0" w:type="auto"/>
            <w:shd w:val="clear" w:color="auto" w:fill="516EE9"/>
          </w:tcPr>
          <w:p w:rsidR="00C90843" w:rsidRPr="001F4FF6" w:rsidRDefault="00C90843" w:rsidP="00B211B4">
            <w:pPr>
              <w:keepLines/>
              <w:spacing w:before="120" w:after="120"/>
              <w:rPr>
                <w:rFonts w:ascii="Lato" w:hAnsi="Lato"/>
                <w:color w:val="FFFFFF" w:themeColor="background1"/>
                <w:lang w:val="es-ES"/>
              </w:rPr>
            </w:pPr>
            <w:r w:rsidRPr="001F4FF6">
              <w:rPr>
                <w:rFonts w:ascii="Lato" w:hAnsi="Lato"/>
                <w:color w:val="FFFFFF" w:themeColor="background1"/>
                <w:lang w:val="es-ES"/>
              </w:rPr>
              <w:t>FANP (FMAM</w:t>
            </w:r>
            <w:r>
              <w:rPr>
                <w:rFonts w:ascii="Lato" w:hAnsi="Lato"/>
                <w:color w:val="FFFFFF" w:themeColor="background1"/>
                <w:lang w:val="es-ES"/>
              </w:rPr>
              <w:t>)</w:t>
            </w:r>
          </w:p>
        </w:tc>
      </w:tr>
      <w:tr w:rsidR="00C90843" w:rsidRPr="001F4FF6" w:rsidTr="00B211B4">
        <w:trPr>
          <w:jc w:val="center"/>
        </w:trPr>
        <w:tc>
          <w:tcPr>
            <w:tcW w:w="0" w:type="auto"/>
          </w:tcPr>
          <w:p w:rsidR="00C90843" w:rsidRPr="001F4FF6" w:rsidRDefault="00C90843" w:rsidP="00B211B4">
            <w:pPr>
              <w:keepLines/>
              <w:spacing w:before="120" w:after="120"/>
              <w:jc w:val="both"/>
              <w:rPr>
                <w:rFonts w:ascii="Lato" w:hAnsi="Lato"/>
                <w:color w:val="595959" w:themeColor="text1" w:themeTint="A6"/>
                <w:lang w:val="es-ES"/>
              </w:rPr>
            </w:pPr>
            <w:r w:rsidRPr="001F4FF6">
              <w:rPr>
                <w:rFonts w:ascii="Lato" w:hAnsi="Lato"/>
                <w:color w:val="595959" w:themeColor="text1" w:themeTint="A6"/>
                <w:lang w:val="es-ES"/>
              </w:rPr>
              <w:t>16</w:t>
            </w:r>
          </w:p>
        </w:tc>
        <w:tc>
          <w:tcPr>
            <w:tcW w:w="0" w:type="auto"/>
          </w:tcPr>
          <w:p w:rsidR="00C90843" w:rsidRPr="001F4FF6" w:rsidRDefault="00C90843" w:rsidP="00B211B4">
            <w:pPr>
              <w:keepLines/>
              <w:spacing w:before="120" w:after="120"/>
              <w:rPr>
                <w:rFonts w:ascii="Lato" w:hAnsi="Lato"/>
                <w:color w:val="595959" w:themeColor="text1" w:themeTint="A6"/>
                <w:lang w:val="es-ES"/>
              </w:rPr>
            </w:pPr>
            <w:r w:rsidRPr="001F4FF6">
              <w:rPr>
                <w:rFonts w:ascii="Lato" w:hAnsi="Lato"/>
                <w:color w:val="595959" w:themeColor="text1" w:themeTint="A6"/>
                <w:lang w:val="es-ES"/>
              </w:rPr>
              <w:t>APFF Cañón de Santa Elena</w:t>
            </w:r>
          </w:p>
        </w:tc>
        <w:tc>
          <w:tcPr>
            <w:tcW w:w="0" w:type="auto"/>
            <w:shd w:val="clear" w:color="auto" w:fill="516EE9"/>
          </w:tcPr>
          <w:p w:rsidR="00C90843" w:rsidRPr="001F4FF6" w:rsidRDefault="00C90843" w:rsidP="00B211B4">
            <w:pPr>
              <w:keepLines/>
              <w:spacing w:before="120" w:after="120"/>
              <w:rPr>
                <w:rFonts w:ascii="Lato" w:hAnsi="Lato"/>
                <w:color w:val="FFFFFF" w:themeColor="background1"/>
                <w:lang w:val="es-ES"/>
              </w:rPr>
            </w:pPr>
            <w:r w:rsidRPr="001F4FF6">
              <w:rPr>
                <w:rFonts w:ascii="Lato" w:hAnsi="Lato"/>
                <w:color w:val="FFFFFF" w:themeColor="background1"/>
                <w:lang w:val="es-ES"/>
              </w:rPr>
              <w:t>FANP (FMAM)</w:t>
            </w:r>
          </w:p>
        </w:tc>
      </w:tr>
      <w:tr w:rsidR="00C90843" w:rsidRPr="001F4FF6" w:rsidTr="00B211B4">
        <w:trPr>
          <w:jc w:val="center"/>
        </w:trPr>
        <w:tc>
          <w:tcPr>
            <w:tcW w:w="0" w:type="auto"/>
          </w:tcPr>
          <w:p w:rsidR="00C90843" w:rsidRPr="001F4FF6" w:rsidRDefault="00C90843" w:rsidP="00B211B4">
            <w:pPr>
              <w:keepLines/>
              <w:spacing w:before="120" w:after="120"/>
              <w:jc w:val="both"/>
              <w:rPr>
                <w:rFonts w:ascii="Lato" w:hAnsi="Lato"/>
                <w:color w:val="595959" w:themeColor="text1" w:themeTint="A6"/>
                <w:lang w:val="es-ES"/>
              </w:rPr>
            </w:pPr>
            <w:r w:rsidRPr="001F4FF6">
              <w:rPr>
                <w:rFonts w:ascii="Lato" w:hAnsi="Lato"/>
                <w:color w:val="595959" w:themeColor="text1" w:themeTint="A6"/>
                <w:lang w:val="es-ES"/>
              </w:rPr>
              <w:lastRenderedPageBreak/>
              <w:t>17</w:t>
            </w:r>
          </w:p>
        </w:tc>
        <w:tc>
          <w:tcPr>
            <w:tcW w:w="0" w:type="auto"/>
          </w:tcPr>
          <w:p w:rsidR="00C90843" w:rsidRPr="001F4FF6" w:rsidRDefault="00C90843" w:rsidP="00B211B4">
            <w:pPr>
              <w:keepLines/>
              <w:spacing w:before="120" w:after="120"/>
              <w:rPr>
                <w:rFonts w:ascii="Lato" w:hAnsi="Lato"/>
                <w:color w:val="595959" w:themeColor="text1" w:themeTint="A6"/>
                <w:lang w:val="es-ES"/>
              </w:rPr>
            </w:pPr>
            <w:r w:rsidRPr="001F4FF6">
              <w:rPr>
                <w:rFonts w:ascii="Lato" w:hAnsi="Lato"/>
                <w:color w:val="595959" w:themeColor="text1" w:themeTint="A6"/>
                <w:lang w:val="es-ES"/>
              </w:rPr>
              <w:t>APFF Sierra de Álamos - Río Cuchujaqui</w:t>
            </w:r>
          </w:p>
        </w:tc>
        <w:tc>
          <w:tcPr>
            <w:tcW w:w="0" w:type="auto"/>
            <w:shd w:val="clear" w:color="auto" w:fill="516EE9"/>
          </w:tcPr>
          <w:p w:rsidR="00C90843" w:rsidRPr="001F4FF6" w:rsidRDefault="00C90843" w:rsidP="00B211B4">
            <w:pPr>
              <w:keepLines/>
              <w:spacing w:before="120" w:after="120"/>
              <w:rPr>
                <w:rFonts w:ascii="Lato" w:hAnsi="Lato"/>
                <w:color w:val="FFFFFF" w:themeColor="background1"/>
                <w:lang w:val="es-ES"/>
              </w:rPr>
            </w:pPr>
            <w:r w:rsidRPr="001F4FF6">
              <w:rPr>
                <w:rFonts w:ascii="Lato" w:hAnsi="Lato"/>
                <w:color w:val="FFFFFF" w:themeColor="background1"/>
                <w:lang w:val="es-ES"/>
              </w:rPr>
              <w:t>FANP (FMAM)</w:t>
            </w:r>
          </w:p>
        </w:tc>
      </w:tr>
      <w:tr w:rsidR="00C90843" w:rsidRPr="001F4FF6" w:rsidTr="00B211B4">
        <w:trPr>
          <w:jc w:val="center"/>
        </w:trPr>
        <w:tc>
          <w:tcPr>
            <w:tcW w:w="0" w:type="auto"/>
          </w:tcPr>
          <w:p w:rsidR="00C90843" w:rsidRPr="001F4FF6" w:rsidRDefault="00C90843" w:rsidP="00B211B4">
            <w:pPr>
              <w:keepLines/>
              <w:spacing w:before="120" w:after="120"/>
              <w:jc w:val="both"/>
              <w:rPr>
                <w:rFonts w:ascii="Lato" w:hAnsi="Lato"/>
                <w:color w:val="595959" w:themeColor="text1" w:themeTint="A6"/>
                <w:lang w:val="es-ES"/>
              </w:rPr>
            </w:pPr>
            <w:r w:rsidRPr="001F4FF6">
              <w:rPr>
                <w:rFonts w:ascii="Lato" w:hAnsi="Lato"/>
                <w:color w:val="595959" w:themeColor="text1" w:themeTint="A6"/>
                <w:lang w:val="es-ES"/>
              </w:rPr>
              <w:t>18</w:t>
            </w:r>
          </w:p>
        </w:tc>
        <w:tc>
          <w:tcPr>
            <w:tcW w:w="0" w:type="auto"/>
          </w:tcPr>
          <w:p w:rsidR="00C90843" w:rsidRPr="001F4FF6" w:rsidRDefault="00C90843" w:rsidP="00B211B4">
            <w:pPr>
              <w:keepLines/>
              <w:spacing w:before="120" w:after="120"/>
              <w:rPr>
                <w:rFonts w:ascii="Lato" w:hAnsi="Lato"/>
                <w:color w:val="595959" w:themeColor="text1" w:themeTint="A6"/>
                <w:lang w:val="es-ES"/>
              </w:rPr>
            </w:pPr>
            <w:r w:rsidRPr="001F4FF6">
              <w:rPr>
                <w:rFonts w:ascii="Lato" w:hAnsi="Lato"/>
                <w:color w:val="595959" w:themeColor="text1" w:themeTint="A6"/>
                <w:lang w:val="es-ES"/>
              </w:rPr>
              <w:t>APFF Islas del Golfo de California (Sonora y Sinaloa)</w:t>
            </w:r>
          </w:p>
        </w:tc>
        <w:tc>
          <w:tcPr>
            <w:tcW w:w="0" w:type="auto"/>
            <w:shd w:val="clear" w:color="auto" w:fill="516EE9"/>
          </w:tcPr>
          <w:p w:rsidR="00C90843" w:rsidRPr="001F4FF6" w:rsidRDefault="00C90843" w:rsidP="00B211B4">
            <w:pPr>
              <w:keepLines/>
              <w:spacing w:before="120" w:after="120"/>
              <w:rPr>
                <w:rFonts w:ascii="Lato" w:hAnsi="Lato"/>
                <w:color w:val="FFFFFF" w:themeColor="background1"/>
                <w:lang w:val="es-ES"/>
              </w:rPr>
            </w:pPr>
            <w:r w:rsidRPr="001F4FF6">
              <w:rPr>
                <w:rFonts w:ascii="Lato" w:hAnsi="Lato"/>
                <w:color w:val="FFFFFF" w:themeColor="background1"/>
                <w:lang w:val="es-ES"/>
              </w:rPr>
              <w:t>FANP (FMAM)</w:t>
            </w:r>
          </w:p>
        </w:tc>
      </w:tr>
      <w:tr w:rsidR="00C90843" w:rsidRPr="001F4FF6" w:rsidTr="00B211B4">
        <w:trPr>
          <w:jc w:val="center"/>
        </w:trPr>
        <w:tc>
          <w:tcPr>
            <w:tcW w:w="0" w:type="auto"/>
          </w:tcPr>
          <w:p w:rsidR="00C90843" w:rsidRPr="001F4FF6" w:rsidRDefault="00C90843" w:rsidP="00B211B4">
            <w:pPr>
              <w:keepLines/>
              <w:spacing w:before="120" w:after="120"/>
              <w:jc w:val="both"/>
              <w:rPr>
                <w:rFonts w:ascii="Lato" w:hAnsi="Lato"/>
                <w:color w:val="595959" w:themeColor="text1" w:themeTint="A6"/>
                <w:lang w:val="es-ES"/>
              </w:rPr>
            </w:pPr>
            <w:r w:rsidRPr="001F4FF6">
              <w:rPr>
                <w:rFonts w:ascii="Lato" w:hAnsi="Lato"/>
                <w:color w:val="595959" w:themeColor="text1" w:themeTint="A6"/>
                <w:lang w:val="es-ES"/>
              </w:rPr>
              <w:t>19</w:t>
            </w:r>
          </w:p>
        </w:tc>
        <w:tc>
          <w:tcPr>
            <w:tcW w:w="0" w:type="auto"/>
          </w:tcPr>
          <w:p w:rsidR="00C90843" w:rsidRPr="001F4FF6" w:rsidRDefault="00C90843" w:rsidP="00B211B4">
            <w:pPr>
              <w:keepLines/>
              <w:spacing w:before="120" w:after="120"/>
              <w:rPr>
                <w:rFonts w:ascii="Lato" w:hAnsi="Lato"/>
                <w:color w:val="595959" w:themeColor="text1" w:themeTint="A6"/>
                <w:lang w:val="es-ES"/>
              </w:rPr>
            </w:pPr>
            <w:r w:rsidRPr="001F4FF6">
              <w:rPr>
                <w:rFonts w:ascii="Lato" w:hAnsi="Lato"/>
                <w:color w:val="595959" w:themeColor="text1" w:themeTint="A6"/>
                <w:lang w:val="es-ES"/>
              </w:rPr>
              <w:t>RB El Pinacate y Gran Desierto de Altar</w:t>
            </w:r>
          </w:p>
        </w:tc>
        <w:tc>
          <w:tcPr>
            <w:tcW w:w="0" w:type="auto"/>
            <w:shd w:val="clear" w:color="auto" w:fill="516EE9"/>
          </w:tcPr>
          <w:p w:rsidR="00C90843" w:rsidRPr="001F4FF6" w:rsidRDefault="00C90843" w:rsidP="00B211B4">
            <w:pPr>
              <w:keepLines/>
              <w:spacing w:before="120" w:after="120"/>
              <w:rPr>
                <w:rFonts w:ascii="Lato" w:hAnsi="Lato"/>
                <w:color w:val="FFFFFF" w:themeColor="background1"/>
                <w:lang w:val="es-ES"/>
              </w:rPr>
            </w:pPr>
            <w:r w:rsidRPr="001F4FF6">
              <w:rPr>
                <w:rFonts w:ascii="Lato" w:hAnsi="Lato"/>
                <w:color w:val="FFFFFF" w:themeColor="background1"/>
                <w:lang w:val="es-ES"/>
              </w:rPr>
              <w:t>FANP (FMAM)</w:t>
            </w:r>
          </w:p>
        </w:tc>
      </w:tr>
      <w:tr w:rsidR="00C90843" w:rsidRPr="001F4FF6" w:rsidTr="00B211B4">
        <w:trPr>
          <w:jc w:val="center"/>
        </w:trPr>
        <w:tc>
          <w:tcPr>
            <w:tcW w:w="0" w:type="auto"/>
          </w:tcPr>
          <w:p w:rsidR="00C90843" w:rsidRPr="001F4FF6" w:rsidRDefault="00C90843" w:rsidP="00B211B4">
            <w:pPr>
              <w:keepLines/>
              <w:spacing w:before="120" w:after="120"/>
              <w:jc w:val="both"/>
              <w:rPr>
                <w:rFonts w:ascii="Lato" w:hAnsi="Lato"/>
                <w:color w:val="595959" w:themeColor="text1" w:themeTint="A6"/>
                <w:lang w:val="es-ES"/>
              </w:rPr>
            </w:pPr>
            <w:r w:rsidRPr="001F4FF6">
              <w:rPr>
                <w:rFonts w:ascii="Lato" w:hAnsi="Lato"/>
                <w:color w:val="595959" w:themeColor="text1" w:themeTint="A6"/>
                <w:lang w:val="es-ES"/>
              </w:rPr>
              <w:t>20</w:t>
            </w:r>
          </w:p>
        </w:tc>
        <w:tc>
          <w:tcPr>
            <w:tcW w:w="0" w:type="auto"/>
          </w:tcPr>
          <w:p w:rsidR="00C90843" w:rsidRPr="001F4FF6" w:rsidRDefault="00C90843" w:rsidP="00B211B4">
            <w:pPr>
              <w:keepLines/>
              <w:spacing w:before="120" w:after="120"/>
              <w:rPr>
                <w:rFonts w:ascii="Lato" w:hAnsi="Lato"/>
                <w:color w:val="595959" w:themeColor="text1" w:themeTint="A6"/>
                <w:lang w:val="es-ES"/>
              </w:rPr>
            </w:pPr>
            <w:r w:rsidRPr="001F4FF6">
              <w:rPr>
                <w:rFonts w:ascii="Lato" w:hAnsi="Lato"/>
                <w:color w:val="595959" w:themeColor="text1" w:themeTint="A6"/>
                <w:lang w:val="es-ES"/>
              </w:rPr>
              <w:t>RB Alto Golfo Golfo de California y Delta del Río Colorado</w:t>
            </w:r>
          </w:p>
        </w:tc>
        <w:tc>
          <w:tcPr>
            <w:tcW w:w="0" w:type="auto"/>
            <w:shd w:val="clear" w:color="auto" w:fill="516EE9"/>
          </w:tcPr>
          <w:p w:rsidR="00C90843" w:rsidRPr="001F4FF6" w:rsidRDefault="00C90843" w:rsidP="00B211B4">
            <w:pPr>
              <w:keepLines/>
              <w:spacing w:before="120" w:after="120"/>
              <w:rPr>
                <w:rFonts w:ascii="Lato" w:hAnsi="Lato"/>
                <w:color w:val="FFFFFF" w:themeColor="background1"/>
                <w:lang w:val="es-ES"/>
              </w:rPr>
            </w:pPr>
            <w:r w:rsidRPr="001F4FF6">
              <w:rPr>
                <w:rFonts w:ascii="Lato" w:hAnsi="Lato"/>
                <w:color w:val="FFFFFF" w:themeColor="background1"/>
                <w:lang w:val="es-ES"/>
              </w:rPr>
              <w:t>FANP (FMAM)</w:t>
            </w:r>
          </w:p>
        </w:tc>
      </w:tr>
      <w:tr w:rsidR="00C90843" w:rsidRPr="001F4FF6" w:rsidTr="00B211B4">
        <w:trPr>
          <w:jc w:val="center"/>
        </w:trPr>
        <w:tc>
          <w:tcPr>
            <w:tcW w:w="0" w:type="auto"/>
          </w:tcPr>
          <w:p w:rsidR="00C90843" w:rsidRPr="001F4FF6" w:rsidRDefault="00C90843" w:rsidP="00B211B4">
            <w:pPr>
              <w:keepLines/>
              <w:spacing w:before="120" w:after="120"/>
              <w:jc w:val="both"/>
              <w:rPr>
                <w:rFonts w:ascii="Lato" w:hAnsi="Lato"/>
                <w:color w:val="595959" w:themeColor="text1" w:themeTint="A6"/>
                <w:lang w:val="es-ES"/>
              </w:rPr>
            </w:pPr>
            <w:r w:rsidRPr="001F4FF6">
              <w:rPr>
                <w:rFonts w:ascii="Lato" w:hAnsi="Lato"/>
                <w:color w:val="595959" w:themeColor="text1" w:themeTint="A6"/>
                <w:lang w:val="es-ES"/>
              </w:rPr>
              <w:t>21</w:t>
            </w:r>
          </w:p>
        </w:tc>
        <w:tc>
          <w:tcPr>
            <w:tcW w:w="0" w:type="auto"/>
          </w:tcPr>
          <w:p w:rsidR="00C90843" w:rsidRPr="001F4FF6" w:rsidRDefault="00C90843" w:rsidP="00B211B4">
            <w:pPr>
              <w:keepLines/>
              <w:spacing w:before="120" w:after="120"/>
              <w:rPr>
                <w:rFonts w:ascii="Lato" w:hAnsi="Lato"/>
                <w:color w:val="595959" w:themeColor="text1" w:themeTint="A6"/>
                <w:lang w:val="es-ES"/>
              </w:rPr>
            </w:pPr>
            <w:r w:rsidRPr="001F4FF6">
              <w:rPr>
                <w:rFonts w:ascii="Lato" w:hAnsi="Lato"/>
                <w:color w:val="595959" w:themeColor="text1" w:themeTint="A6"/>
                <w:lang w:val="es-ES"/>
              </w:rPr>
              <w:t>RB El Vizcaíno</w:t>
            </w:r>
          </w:p>
        </w:tc>
        <w:tc>
          <w:tcPr>
            <w:tcW w:w="0" w:type="auto"/>
            <w:shd w:val="clear" w:color="auto" w:fill="516EE9"/>
          </w:tcPr>
          <w:p w:rsidR="00C90843" w:rsidRPr="001F4FF6" w:rsidRDefault="00C90843" w:rsidP="00B211B4">
            <w:pPr>
              <w:keepLines/>
              <w:spacing w:before="120" w:after="120"/>
              <w:rPr>
                <w:rFonts w:ascii="Lato" w:hAnsi="Lato"/>
                <w:color w:val="FFFFFF" w:themeColor="background1"/>
                <w:lang w:val="es-ES"/>
              </w:rPr>
            </w:pPr>
            <w:r w:rsidRPr="001F4FF6">
              <w:rPr>
                <w:rFonts w:ascii="Lato" w:hAnsi="Lato"/>
                <w:color w:val="FFFFFF" w:themeColor="background1"/>
                <w:lang w:val="es-ES"/>
              </w:rPr>
              <w:t>FANP (FMAM)</w:t>
            </w:r>
          </w:p>
        </w:tc>
      </w:tr>
      <w:tr w:rsidR="00C90843" w:rsidRPr="001F4FF6" w:rsidTr="00B211B4">
        <w:trPr>
          <w:jc w:val="center"/>
        </w:trPr>
        <w:tc>
          <w:tcPr>
            <w:tcW w:w="0" w:type="auto"/>
          </w:tcPr>
          <w:p w:rsidR="00C90843" w:rsidRPr="001F4FF6" w:rsidRDefault="00C90843" w:rsidP="00B211B4">
            <w:pPr>
              <w:keepLines/>
              <w:spacing w:before="120" w:after="120"/>
              <w:jc w:val="both"/>
              <w:rPr>
                <w:rFonts w:ascii="Lato" w:hAnsi="Lato"/>
                <w:color w:val="595959" w:themeColor="text1" w:themeTint="A6"/>
                <w:lang w:val="es-ES"/>
              </w:rPr>
            </w:pPr>
            <w:r w:rsidRPr="001F4FF6">
              <w:rPr>
                <w:rFonts w:ascii="Lato" w:hAnsi="Lato"/>
                <w:color w:val="595959" w:themeColor="text1" w:themeTint="A6"/>
                <w:lang w:val="es-ES"/>
              </w:rPr>
              <w:t>22</w:t>
            </w:r>
          </w:p>
        </w:tc>
        <w:tc>
          <w:tcPr>
            <w:tcW w:w="0" w:type="auto"/>
          </w:tcPr>
          <w:p w:rsidR="00C90843" w:rsidRPr="001F4FF6" w:rsidRDefault="00C90843" w:rsidP="00B211B4">
            <w:pPr>
              <w:keepLines/>
              <w:spacing w:before="120" w:after="120"/>
              <w:rPr>
                <w:rFonts w:ascii="Lato" w:hAnsi="Lato"/>
                <w:color w:val="595959" w:themeColor="text1" w:themeTint="A6"/>
                <w:lang w:val="es-ES"/>
              </w:rPr>
            </w:pPr>
            <w:r w:rsidRPr="001F4FF6">
              <w:rPr>
                <w:rFonts w:ascii="Lato" w:hAnsi="Lato"/>
                <w:color w:val="595959" w:themeColor="text1" w:themeTint="A6"/>
                <w:lang w:val="es-ES"/>
              </w:rPr>
              <w:t>RB Sierra La Laguna</w:t>
            </w:r>
          </w:p>
        </w:tc>
        <w:tc>
          <w:tcPr>
            <w:tcW w:w="0" w:type="auto"/>
            <w:shd w:val="clear" w:color="auto" w:fill="516EE9"/>
          </w:tcPr>
          <w:p w:rsidR="00C90843" w:rsidRPr="001F4FF6" w:rsidRDefault="00C90843" w:rsidP="00B211B4">
            <w:pPr>
              <w:keepLines/>
              <w:spacing w:before="120" w:after="120"/>
              <w:rPr>
                <w:rFonts w:ascii="Lato" w:hAnsi="Lato"/>
                <w:color w:val="FFFFFF" w:themeColor="background1"/>
                <w:lang w:val="es-ES"/>
              </w:rPr>
            </w:pPr>
            <w:r w:rsidRPr="001F4FF6">
              <w:rPr>
                <w:rFonts w:ascii="Lato" w:hAnsi="Lato"/>
                <w:color w:val="FFFFFF" w:themeColor="background1"/>
                <w:lang w:val="es-ES"/>
              </w:rPr>
              <w:t>FANP (FMAM)</w:t>
            </w:r>
          </w:p>
        </w:tc>
      </w:tr>
      <w:tr w:rsidR="00C90843" w:rsidRPr="001F4FF6" w:rsidTr="00B211B4">
        <w:trPr>
          <w:jc w:val="center"/>
        </w:trPr>
        <w:tc>
          <w:tcPr>
            <w:tcW w:w="0" w:type="auto"/>
          </w:tcPr>
          <w:p w:rsidR="00C90843" w:rsidRPr="001F4FF6" w:rsidRDefault="00C90843" w:rsidP="00B211B4">
            <w:pPr>
              <w:keepLines/>
              <w:spacing w:before="120" w:after="120"/>
              <w:jc w:val="both"/>
              <w:rPr>
                <w:rFonts w:ascii="Lato" w:hAnsi="Lato"/>
                <w:color w:val="595959" w:themeColor="text1" w:themeTint="A6"/>
                <w:lang w:val="es-ES"/>
              </w:rPr>
            </w:pPr>
            <w:r w:rsidRPr="001F4FF6">
              <w:rPr>
                <w:rFonts w:ascii="Lato" w:hAnsi="Lato"/>
                <w:color w:val="595959" w:themeColor="text1" w:themeTint="A6"/>
                <w:lang w:val="es-ES"/>
              </w:rPr>
              <w:t>23</w:t>
            </w:r>
          </w:p>
        </w:tc>
        <w:tc>
          <w:tcPr>
            <w:tcW w:w="0" w:type="auto"/>
          </w:tcPr>
          <w:p w:rsidR="00C90843" w:rsidRPr="001F4FF6" w:rsidRDefault="00C90843" w:rsidP="00B211B4">
            <w:pPr>
              <w:keepLines/>
              <w:spacing w:before="120" w:after="120"/>
              <w:rPr>
                <w:rFonts w:ascii="Lato" w:hAnsi="Lato"/>
                <w:color w:val="595959" w:themeColor="text1" w:themeTint="A6"/>
                <w:lang w:val="es-ES"/>
              </w:rPr>
            </w:pPr>
            <w:r w:rsidRPr="001F4FF6">
              <w:rPr>
                <w:rFonts w:ascii="Lato" w:hAnsi="Lato"/>
                <w:color w:val="595959" w:themeColor="text1" w:themeTint="A6"/>
                <w:lang w:val="es-ES"/>
              </w:rPr>
              <w:t>PN Bahía de Loreto</w:t>
            </w:r>
          </w:p>
        </w:tc>
        <w:tc>
          <w:tcPr>
            <w:tcW w:w="0" w:type="auto"/>
            <w:shd w:val="clear" w:color="auto" w:fill="516EE9"/>
          </w:tcPr>
          <w:p w:rsidR="00C90843" w:rsidRPr="001F4FF6" w:rsidRDefault="00C90843" w:rsidP="00B211B4">
            <w:pPr>
              <w:keepLines/>
              <w:spacing w:before="120" w:after="120"/>
              <w:rPr>
                <w:rFonts w:ascii="Lato" w:hAnsi="Lato"/>
                <w:color w:val="FFFFFF" w:themeColor="background1"/>
                <w:lang w:val="es-ES"/>
              </w:rPr>
            </w:pPr>
            <w:r w:rsidRPr="001F4FF6">
              <w:rPr>
                <w:rFonts w:ascii="Lato" w:hAnsi="Lato"/>
                <w:color w:val="FFFFFF" w:themeColor="background1"/>
                <w:lang w:val="es-ES"/>
              </w:rPr>
              <w:t>FANP (FMAM)</w:t>
            </w:r>
          </w:p>
        </w:tc>
      </w:tr>
      <w:tr w:rsidR="00C90843" w:rsidRPr="001F4FF6" w:rsidTr="00B211B4">
        <w:trPr>
          <w:jc w:val="center"/>
        </w:trPr>
        <w:tc>
          <w:tcPr>
            <w:tcW w:w="0" w:type="auto"/>
          </w:tcPr>
          <w:p w:rsidR="00C90843" w:rsidRPr="001F4FF6" w:rsidRDefault="00C90843" w:rsidP="00B211B4">
            <w:pPr>
              <w:keepLines/>
              <w:spacing w:before="120" w:after="120"/>
              <w:jc w:val="both"/>
              <w:rPr>
                <w:rFonts w:ascii="Lato" w:hAnsi="Lato"/>
                <w:color w:val="595959" w:themeColor="text1" w:themeTint="A6"/>
                <w:lang w:val="es-ES"/>
              </w:rPr>
            </w:pPr>
            <w:r w:rsidRPr="001F4FF6">
              <w:rPr>
                <w:rFonts w:ascii="Lato" w:hAnsi="Lato"/>
                <w:color w:val="595959" w:themeColor="text1" w:themeTint="A6"/>
                <w:lang w:val="es-ES"/>
              </w:rPr>
              <w:t>24</w:t>
            </w:r>
          </w:p>
        </w:tc>
        <w:tc>
          <w:tcPr>
            <w:tcW w:w="0" w:type="auto"/>
          </w:tcPr>
          <w:p w:rsidR="00C90843" w:rsidRPr="001F4FF6" w:rsidRDefault="00C90843" w:rsidP="00B211B4">
            <w:pPr>
              <w:keepLines/>
              <w:spacing w:before="120" w:after="120"/>
              <w:rPr>
                <w:rFonts w:ascii="Lato" w:hAnsi="Lato"/>
                <w:color w:val="595959" w:themeColor="text1" w:themeTint="A6"/>
                <w:lang w:val="es-ES"/>
              </w:rPr>
            </w:pPr>
            <w:r w:rsidRPr="001F4FF6">
              <w:rPr>
                <w:rFonts w:ascii="Lato" w:hAnsi="Lato"/>
                <w:color w:val="595959" w:themeColor="text1" w:themeTint="A6"/>
                <w:lang w:val="es-ES"/>
              </w:rPr>
              <w:t>PN Revillagigedo</w:t>
            </w:r>
          </w:p>
        </w:tc>
        <w:tc>
          <w:tcPr>
            <w:tcW w:w="0" w:type="auto"/>
            <w:shd w:val="clear" w:color="auto" w:fill="47DFF3"/>
          </w:tcPr>
          <w:p w:rsidR="00C90843" w:rsidRPr="001F4FF6" w:rsidRDefault="00C90843" w:rsidP="00B211B4">
            <w:pPr>
              <w:keepLines/>
              <w:spacing w:before="120" w:after="120"/>
              <w:rPr>
                <w:rFonts w:ascii="Lato" w:hAnsi="Lato"/>
                <w:color w:val="FFFFFF" w:themeColor="background1"/>
                <w:lang w:val="es-ES"/>
              </w:rPr>
            </w:pPr>
            <w:r>
              <w:rPr>
                <w:rFonts w:ascii="Lato" w:hAnsi="Lato"/>
                <w:color w:val="FFFFFF" w:themeColor="background1"/>
                <w:lang w:val="es-ES"/>
              </w:rPr>
              <w:t>FINANP</w:t>
            </w:r>
          </w:p>
        </w:tc>
      </w:tr>
      <w:tr w:rsidR="00C90843" w:rsidRPr="001F4FF6" w:rsidTr="00B211B4">
        <w:trPr>
          <w:jc w:val="center"/>
        </w:trPr>
        <w:tc>
          <w:tcPr>
            <w:tcW w:w="0" w:type="auto"/>
          </w:tcPr>
          <w:p w:rsidR="00C90843" w:rsidRPr="001F4FF6" w:rsidRDefault="00C90843" w:rsidP="00B211B4">
            <w:pPr>
              <w:keepLines/>
              <w:spacing w:before="120" w:after="120"/>
              <w:jc w:val="both"/>
              <w:rPr>
                <w:rFonts w:ascii="Lato" w:hAnsi="Lato"/>
                <w:color w:val="595959" w:themeColor="text1" w:themeTint="A6"/>
                <w:lang w:val="es-ES"/>
              </w:rPr>
            </w:pPr>
            <w:r w:rsidRPr="001F4FF6">
              <w:rPr>
                <w:rFonts w:ascii="Lato" w:hAnsi="Lato"/>
                <w:color w:val="595959" w:themeColor="text1" w:themeTint="A6"/>
                <w:lang w:val="es-ES"/>
              </w:rPr>
              <w:t>25</w:t>
            </w:r>
          </w:p>
        </w:tc>
        <w:tc>
          <w:tcPr>
            <w:tcW w:w="0" w:type="auto"/>
          </w:tcPr>
          <w:p w:rsidR="00C90843" w:rsidRPr="001F4FF6" w:rsidRDefault="00C90843" w:rsidP="00B211B4">
            <w:pPr>
              <w:keepLines/>
              <w:spacing w:before="120" w:after="120"/>
              <w:rPr>
                <w:rFonts w:ascii="Lato" w:hAnsi="Lato"/>
                <w:color w:val="595959" w:themeColor="text1" w:themeTint="A6"/>
                <w:lang w:val="es-ES"/>
              </w:rPr>
            </w:pPr>
            <w:r w:rsidRPr="001F4FF6">
              <w:rPr>
                <w:rFonts w:ascii="Lato" w:hAnsi="Lato"/>
                <w:color w:val="595959" w:themeColor="text1" w:themeTint="A6"/>
                <w:lang w:val="es-ES"/>
              </w:rPr>
              <w:t>PN Arrecifes de Cozumel</w:t>
            </w:r>
          </w:p>
        </w:tc>
        <w:tc>
          <w:tcPr>
            <w:tcW w:w="0" w:type="auto"/>
            <w:shd w:val="clear" w:color="auto" w:fill="516EE9"/>
          </w:tcPr>
          <w:p w:rsidR="00C90843" w:rsidRPr="001F4FF6" w:rsidRDefault="00C90843" w:rsidP="00B211B4">
            <w:pPr>
              <w:keepLines/>
              <w:spacing w:before="120" w:after="120"/>
              <w:rPr>
                <w:rFonts w:ascii="Lato" w:hAnsi="Lato"/>
                <w:color w:val="FFFFFF" w:themeColor="background1"/>
                <w:lang w:val="es-ES"/>
              </w:rPr>
            </w:pPr>
            <w:r w:rsidRPr="001F4FF6">
              <w:rPr>
                <w:rFonts w:ascii="Lato" w:hAnsi="Lato"/>
                <w:color w:val="FFFFFF" w:themeColor="background1"/>
                <w:lang w:val="es-ES"/>
              </w:rPr>
              <w:t>FANP (FMAM)</w:t>
            </w:r>
          </w:p>
        </w:tc>
      </w:tr>
      <w:tr w:rsidR="00C90843" w:rsidRPr="001F4FF6" w:rsidTr="00B211B4">
        <w:trPr>
          <w:jc w:val="center"/>
        </w:trPr>
        <w:tc>
          <w:tcPr>
            <w:tcW w:w="0" w:type="auto"/>
          </w:tcPr>
          <w:p w:rsidR="00C90843" w:rsidRPr="001F4FF6" w:rsidRDefault="00C90843" w:rsidP="00B211B4">
            <w:pPr>
              <w:keepLines/>
              <w:spacing w:before="120" w:after="120"/>
              <w:jc w:val="both"/>
              <w:rPr>
                <w:rFonts w:ascii="Lato" w:hAnsi="Lato"/>
                <w:color w:val="595959" w:themeColor="text1" w:themeTint="A6"/>
                <w:lang w:val="es-ES"/>
              </w:rPr>
            </w:pPr>
            <w:r w:rsidRPr="001F4FF6">
              <w:rPr>
                <w:rFonts w:ascii="Lato" w:hAnsi="Lato"/>
                <w:color w:val="595959" w:themeColor="text1" w:themeTint="A6"/>
                <w:lang w:val="es-ES"/>
              </w:rPr>
              <w:t>26</w:t>
            </w:r>
          </w:p>
        </w:tc>
        <w:tc>
          <w:tcPr>
            <w:tcW w:w="0" w:type="auto"/>
          </w:tcPr>
          <w:p w:rsidR="00C90843" w:rsidRPr="001F4FF6" w:rsidRDefault="00C90843" w:rsidP="00B211B4">
            <w:pPr>
              <w:keepLines/>
              <w:spacing w:before="120" w:after="120"/>
              <w:rPr>
                <w:rFonts w:ascii="Lato" w:hAnsi="Lato"/>
                <w:color w:val="595959" w:themeColor="text1" w:themeTint="A6"/>
                <w:lang w:val="es-ES"/>
              </w:rPr>
            </w:pPr>
            <w:r w:rsidRPr="001F4FF6">
              <w:rPr>
                <w:rFonts w:ascii="Lato" w:hAnsi="Lato"/>
                <w:color w:val="595959" w:themeColor="text1" w:themeTint="A6"/>
                <w:lang w:val="es-ES"/>
              </w:rPr>
              <w:t>APFF La Porción Norte y Franja Costera Oriental terrestres y marinas de la Isla de Cozumel</w:t>
            </w:r>
          </w:p>
        </w:tc>
        <w:tc>
          <w:tcPr>
            <w:tcW w:w="0" w:type="auto"/>
            <w:shd w:val="clear" w:color="auto" w:fill="516EE9"/>
          </w:tcPr>
          <w:p w:rsidR="00C90843" w:rsidRPr="001F4FF6" w:rsidRDefault="00C90843" w:rsidP="00B211B4">
            <w:pPr>
              <w:keepLines/>
              <w:spacing w:before="120" w:after="120"/>
              <w:rPr>
                <w:rFonts w:ascii="Lato" w:hAnsi="Lato"/>
                <w:color w:val="FFFFFF" w:themeColor="background1"/>
                <w:lang w:val="es-ES"/>
              </w:rPr>
            </w:pPr>
            <w:r w:rsidRPr="001F4FF6">
              <w:rPr>
                <w:rFonts w:ascii="Lato" w:hAnsi="Lato"/>
                <w:color w:val="FFFFFF" w:themeColor="background1"/>
                <w:lang w:val="es-ES"/>
              </w:rPr>
              <w:t>FANP (FMAM)</w:t>
            </w:r>
          </w:p>
        </w:tc>
      </w:tr>
      <w:tr w:rsidR="00C90843" w:rsidRPr="001F4FF6" w:rsidTr="00B211B4">
        <w:trPr>
          <w:jc w:val="center"/>
        </w:trPr>
        <w:tc>
          <w:tcPr>
            <w:tcW w:w="0" w:type="auto"/>
          </w:tcPr>
          <w:p w:rsidR="00C90843" w:rsidRPr="001F4FF6" w:rsidRDefault="00C90843" w:rsidP="00B211B4">
            <w:pPr>
              <w:keepLines/>
              <w:spacing w:before="120" w:after="120"/>
              <w:jc w:val="both"/>
              <w:rPr>
                <w:rFonts w:ascii="Lato" w:hAnsi="Lato"/>
                <w:color w:val="595959" w:themeColor="text1" w:themeTint="A6"/>
                <w:lang w:val="es-ES"/>
              </w:rPr>
            </w:pPr>
            <w:r w:rsidRPr="001F4FF6">
              <w:rPr>
                <w:rFonts w:ascii="Lato" w:hAnsi="Lato"/>
                <w:color w:val="595959" w:themeColor="text1" w:themeTint="A6"/>
                <w:lang w:val="es-ES"/>
              </w:rPr>
              <w:t>27</w:t>
            </w:r>
          </w:p>
        </w:tc>
        <w:tc>
          <w:tcPr>
            <w:tcW w:w="0" w:type="auto"/>
          </w:tcPr>
          <w:p w:rsidR="00C90843" w:rsidRPr="001F4FF6" w:rsidRDefault="00C90843" w:rsidP="00B211B4">
            <w:pPr>
              <w:keepLines/>
              <w:spacing w:before="120" w:after="120"/>
              <w:rPr>
                <w:rFonts w:ascii="Lato" w:hAnsi="Lato"/>
                <w:color w:val="595959" w:themeColor="text1" w:themeTint="A6"/>
                <w:lang w:val="es-ES"/>
              </w:rPr>
            </w:pPr>
            <w:r w:rsidRPr="001F4FF6">
              <w:rPr>
                <w:rFonts w:ascii="Lato" w:hAnsi="Lato"/>
                <w:color w:val="595959" w:themeColor="text1" w:themeTint="A6"/>
                <w:lang w:val="es-ES"/>
              </w:rPr>
              <w:t>APFF Ocampo</w:t>
            </w:r>
          </w:p>
        </w:tc>
        <w:tc>
          <w:tcPr>
            <w:tcW w:w="0" w:type="auto"/>
            <w:shd w:val="clear" w:color="auto" w:fill="516EE9"/>
          </w:tcPr>
          <w:p w:rsidR="00C90843" w:rsidRPr="001F4FF6" w:rsidRDefault="00C90843" w:rsidP="00B211B4">
            <w:pPr>
              <w:keepLines/>
              <w:spacing w:before="120" w:after="120"/>
              <w:rPr>
                <w:rFonts w:ascii="Lato" w:hAnsi="Lato"/>
                <w:color w:val="FFFFFF" w:themeColor="background1"/>
                <w:lang w:val="es-ES"/>
              </w:rPr>
            </w:pPr>
            <w:r w:rsidRPr="001F4FF6">
              <w:rPr>
                <w:rFonts w:ascii="Lato" w:hAnsi="Lato"/>
                <w:color w:val="FFFFFF" w:themeColor="background1"/>
                <w:lang w:val="es-ES"/>
              </w:rPr>
              <w:t>FANP (FMAM)</w:t>
            </w:r>
          </w:p>
        </w:tc>
      </w:tr>
      <w:tr w:rsidR="00C90843" w:rsidRPr="001F4FF6" w:rsidTr="00B211B4">
        <w:trPr>
          <w:jc w:val="center"/>
        </w:trPr>
        <w:tc>
          <w:tcPr>
            <w:tcW w:w="0" w:type="auto"/>
          </w:tcPr>
          <w:p w:rsidR="00C90843" w:rsidRPr="001F4FF6" w:rsidRDefault="00C90843" w:rsidP="00B211B4">
            <w:pPr>
              <w:keepLines/>
              <w:spacing w:before="120" w:after="120"/>
              <w:jc w:val="both"/>
              <w:rPr>
                <w:rFonts w:ascii="Lato" w:hAnsi="Lato"/>
                <w:color w:val="595959" w:themeColor="text1" w:themeTint="A6"/>
                <w:lang w:val="es-ES"/>
              </w:rPr>
            </w:pPr>
            <w:r w:rsidRPr="001F4FF6">
              <w:rPr>
                <w:rFonts w:ascii="Lato" w:hAnsi="Lato"/>
                <w:color w:val="595959" w:themeColor="text1" w:themeTint="A6"/>
                <w:lang w:val="es-ES"/>
              </w:rPr>
              <w:t>28</w:t>
            </w:r>
          </w:p>
        </w:tc>
        <w:tc>
          <w:tcPr>
            <w:tcW w:w="0" w:type="auto"/>
          </w:tcPr>
          <w:p w:rsidR="00C90843" w:rsidRPr="001F4FF6" w:rsidRDefault="00C90843" w:rsidP="00B211B4">
            <w:pPr>
              <w:keepLines/>
              <w:spacing w:before="120" w:after="120"/>
              <w:rPr>
                <w:rFonts w:ascii="Lato" w:hAnsi="Lato"/>
                <w:color w:val="595959" w:themeColor="text1" w:themeTint="A6"/>
                <w:lang w:val="es-ES"/>
              </w:rPr>
            </w:pPr>
            <w:r w:rsidRPr="001F4FF6">
              <w:rPr>
                <w:rFonts w:ascii="Lato" w:hAnsi="Lato"/>
                <w:color w:val="595959" w:themeColor="text1" w:themeTint="A6"/>
                <w:lang w:val="es-ES"/>
              </w:rPr>
              <w:t>RB Sierra Gorda, Querétaro</w:t>
            </w:r>
          </w:p>
        </w:tc>
        <w:tc>
          <w:tcPr>
            <w:tcW w:w="0" w:type="auto"/>
            <w:shd w:val="clear" w:color="auto" w:fill="516EE9"/>
          </w:tcPr>
          <w:p w:rsidR="00C90843" w:rsidRPr="001F4FF6" w:rsidRDefault="00C90843" w:rsidP="00B211B4">
            <w:pPr>
              <w:keepLines/>
              <w:spacing w:before="120" w:after="120"/>
              <w:rPr>
                <w:rFonts w:ascii="Lato" w:hAnsi="Lato"/>
                <w:color w:val="FFFFFF" w:themeColor="background1"/>
                <w:lang w:val="es-ES"/>
              </w:rPr>
            </w:pPr>
            <w:r w:rsidRPr="001F4FF6">
              <w:rPr>
                <w:rFonts w:ascii="Lato" w:hAnsi="Lato"/>
                <w:color w:val="FFFFFF" w:themeColor="background1"/>
                <w:lang w:val="es-ES"/>
              </w:rPr>
              <w:t>FANP (FMAM)</w:t>
            </w:r>
          </w:p>
        </w:tc>
      </w:tr>
      <w:tr w:rsidR="00C90843" w:rsidRPr="001F4FF6" w:rsidTr="00B211B4">
        <w:trPr>
          <w:jc w:val="center"/>
        </w:trPr>
        <w:tc>
          <w:tcPr>
            <w:tcW w:w="0" w:type="auto"/>
          </w:tcPr>
          <w:p w:rsidR="00C90843" w:rsidRPr="001F4FF6" w:rsidRDefault="00C90843" w:rsidP="00B211B4">
            <w:pPr>
              <w:keepLines/>
              <w:spacing w:before="120" w:after="120"/>
              <w:jc w:val="both"/>
              <w:rPr>
                <w:rFonts w:ascii="Lato" w:hAnsi="Lato"/>
                <w:color w:val="595959" w:themeColor="text1" w:themeTint="A6"/>
                <w:lang w:val="es-ES"/>
              </w:rPr>
            </w:pPr>
            <w:r w:rsidRPr="001F4FF6">
              <w:rPr>
                <w:rFonts w:ascii="Lato" w:hAnsi="Lato"/>
                <w:color w:val="595959" w:themeColor="text1" w:themeTint="A6"/>
                <w:lang w:val="es-ES"/>
              </w:rPr>
              <w:t>29</w:t>
            </w:r>
          </w:p>
        </w:tc>
        <w:tc>
          <w:tcPr>
            <w:tcW w:w="0" w:type="auto"/>
          </w:tcPr>
          <w:p w:rsidR="00C90843" w:rsidRPr="001F4FF6" w:rsidRDefault="00C90843" w:rsidP="00B211B4">
            <w:pPr>
              <w:keepLines/>
              <w:spacing w:before="120" w:after="120"/>
              <w:rPr>
                <w:rFonts w:ascii="Lato" w:hAnsi="Lato"/>
                <w:color w:val="595959" w:themeColor="text1" w:themeTint="A6"/>
                <w:lang w:val="es-ES"/>
              </w:rPr>
            </w:pPr>
            <w:r w:rsidRPr="001F4FF6">
              <w:rPr>
                <w:rFonts w:ascii="Lato" w:hAnsi="Lato"/>
                <w:color w:val="595959" w:themeColor="text1" w:themeTint="A6"/>
                <w:lang w:val="es-ES"/>
              </w:rPr>
              <w:t>APRN Cuenca Alimentadora del Distrito Nacional de Riego 004 Don Martín</w:t>
            </w:r>
          </w:p>
        </w:tc>
        <w:tc>
          <w:tcPr>
            <w:tcW w:w="0" w:type="auto"/>
            <w:shd w:val="clear" w:color="auto" w:fill="516EE9"/>
          </w:tcPr>
          <w:p w:rsidR="00C90843" w:rsidRPr="001F4FF6" w:rsidRDefault="00C90843" w:rsidP="00B211B4">
            <w:pPr>
              <w:keepLines/>
              <w:spacing w:before="120" w:after="120"/>
              <w:rPr>
                <w:rFonts w:ascii="Lato" w:hAnsi="Lato"/>
                <w:color w:val="FFFFFF" w:themeColor="background1"/>
                <w:lang w:val="es-ES"/>
              </w:rPr>
            </w:pPr>
            <w:r w:rsidRPr="001F4FF6">
              <w:rPr>
                <w:rFonts w:ascii="Lato" w:hAnsi="Lato"/>
                <w:color w:val="FFFFFF" w:themeColor="background1"/>
                <w:lang w:val="es-ES"/>
              </w:rPr>
              <w:t>FANP (FMAM)</w:t>
            </w:r>
          </w:p>
        </w:tc>
      </w:tr>
      <w:tr w:rsidR="00C90843" w:rsidRPr="001F4FF6" w:rsidTr="00B211B4">
        <w:trPr>
          <w:jc w:val="center"/>
        </w:trPr>
        <w:tc>
          <w:tcPr>
            <w:tcW w:w="0" w:type="auto"/>
          </w:tcPr>
          <w:p w:rsidR="00C90843" w:rsidRPr="001F4FF6" w:rsidRDefault="00C90843" w:rsidP="00B211B4">
            <w:pPr>
              <w:keepLines/>
              <w:spacing w:before="120" w:after="120"/>
              <w:jc w:val="both"/>
              <w:rPr>
                <w:rFonts w:ascii="Lato" w:hAnsi="Lato"/>
                <w:color w:val="595959" w:themeColor="text1" w:themeTint="A6"/>
                <w:lang w:val="es-ES"/>
              </w:rPr>
            </w:pPr>
            <w:r w:rsidRPr="001F4FF6">
              <w:rPr>
                <w:rFonts w:ascii="Lato" w:hAnsi="Lato"/>
                <w:color w:val="595959" w:themeColor="text1" w:themeTint="A6"/>
                <w:lang w:val="es-ES"/>
              </w:rPr>
              <w:t>30</w:t>
            </w:r>
          </w:p>
        </w:tc>
        <w:tc>
          <w:tcPr>
            <w:tcW w:w="0" w:type="auto"/>
          </w:tcPr>
          <w:p w:rsidR="00C90843" w:rsidRPr="001F4FF6" w:rsidRDefault="00C90843" w:rsidP="00B211B4">
            <w:pPr>
              <w:keepLines/>
              <w:spacing w:before="120" w:after="120"/>
              <w:rPr>
                <w:rFonts w:ascii="Lato" w:hAnsi="Lato"/>
                <w:color w:val="595959" w:themeColor="text1" w:themeTint="A6"/>
                <w:lang w:val="es-ES"/>
              </w:rPr>
            </w:pPr>
            <w:r w:rsidRPr="001F4FF6">
              <w:rPr>
                <w:rFonts w:ascii="Lato" w:hAnsi="Lato"/>
                <w:color w:val="595959" w:themeColor="text1" w:themeTint="A6"/>
                <w:lang w:val="es-ES"/>
              </w:rPr>
              <w:t>APRN Cuenca Hidrográfica del Río Necaxa</w:t>
            </w:r>
          </w:p>
        </w:tc>
        <w:tc>
          <w:tcPr>
            <w:tcW w:w="0" w:type="auto"/>
            <w:shd w:val="clear" w:color="auto" w:fill="516EE9"/>
          </w:tcPr>
          <w:p w:rsidR="00C90843" w:rsidRPr="001F4FF6" w:rsidRDefault="00C90843" w:rsidP="00B211B4">
            <w:pPr>
              <w:keepLines/>
              <w:spacing w:before="120" w:after="120"/>
              <w:rPr>
                <w:rFonts w:ascii="Lato" w:hAnsi="Lato"/>
                <w:color w:val="FFFFFF" w:themeColor="background1"/>
                <w:lang w:val="es-ES"/>
              </w:rPr>
            </w:pPr>
            <w:r w:rsidRPr="001F4FF6">
              <w:rPr>
                <w:rFonts w:ascii="Lato" w:hAnsi="Lato"/>
                <w:color w:val="FFFFFF" w:themeColor="background1"/>
                <w:lang w:val="es-ES"/>
              </w:rPr>
              <w:t>FANP (FMAM)</w:t>
            </w:r>
          </w:p>
        </w:tc>
      </w:tr>
      <w:tr w:rsidR="00C90843" w:rsidRPr="001F4FF6" w:rsidTr="00B211B4">
        <w:trPr>
          <w:jc w:val="center"/>
        </w:trPr>
        <w:tc>
          <w:tcPr>
            <w:tcW w:w="0" w:type="auto"/>
          </w:tcPr>
          <w:p w:rsidR="00C90843" w:rsidRPr="001F4FF6" w:rsidRDefault="00C90843" w:rsidP="00B211B4">
            <w:pPr>
              <w:keepLines/>
              <w:spacing w:before="120" w:after="120"/>
              <w:jc w:val="both"/>
              <w:rPr>
                <w:rFonts w:ascii="Lato" w:hAnsi="Lato"/>
                <w:color w:val="595959" w:themeColor="text1" w:themeTint="A6"/>
                <w:lang w:val="es-ES"/>
              </w:rPr>
            </w:pPr>
            <w:r w:rsidRPr="001F4FF6">
              <w:rPr>
                <w:rFonts w:ascii="Lato" w:hAnsi="Lato"/>
                <w:color w:val="595959" w:themeColor="text1" w:themeTint="A6"/>
                <w:lang w:val="es-ES"/>
              </w:rPr>
              <w:t>31</w:t>
            </w:r>
          </w:p>
        </w:tc>
        <w:tc>
          <w:tcPr>
            <w:tcW w:w="0" w:type="auto"/>
          </w:tcPr>
          <w:p w:rsidR="00C90843" w:rsidRPr="001F4FF6" w:rsidRDefault="00C90843" w:rsidP="00B211B4">
            <w:pPr>
              <w:keepLines/>
              <w:spacing w:before="120" w:after="120"/>
              <w:rPr>
                <w:rFonts w:ascii="Lato" w:hAnsi="Lato"/>
                <w:color w:val="595959" w:themeColor="text1" w:themeTint="A6"/>
                <w:lang w:val="es-ES"/>
              </w:rPr>
            </w:pPr>
            <w:r w:rsidRPr="001F4FF6">
              <w:rPr>
                <w:rFonts w:ascii="Lato" w:hAnsi="Lato"/>
                <w:color w:val="595959" w:themeColor="text1" w:themeTint="A6"/>
                <w:lang w:val="es-ES"/>
              </w:rPr>
              <w:t>RB Sierra del Abra Tanchipa</w:t>
            </w:r>
          </w:p>
        </w:tc>
        <w:tc>
          <w:tcPr>
            <w:tcW w:w="0" w:type="auto"/>
            <w:shd w:val="clear" w:color="auto" w:fill="516EE9"/>
          </w:tcPr>
          <w:p w:rsidR="00C90843" w:rsidRPr="001F4FF6" w:rsidRDefault="00C90843" w:rsidP="00B211B4">
            <w:pPr>
              <w:keepLines/>
              <w:spacing w:before="120" w:after="120"/>
              <w:rPr>
                <w:rFonts w:ascii="Lato" w:hAnsi="Lato"/>
                <w:color w:val="FFFFFF" w:themeColor="background1"/>
                <w:lang w:val="es-ES"/>
              </w:rPr>
            </w:pPr>
            <w:r w:rsidRPr="001F4FF6">
              <w:rPr>
                <w:rFonts w:ascii="Lato" w:hAnsi="Lato"/>
                <w:color w:val="FFFFFF" w:themeColor="background1"/>
                <w:lang w:val="es-ES"/>
              </w:rPr>
              <w:t>FANP (FMAM)</w:t>
            </w:r>
          </w:p>
        </w:tc>
      </w:tr>
      <w:tr w:rsidR="00C90843" w:rsidRPr="001F4FF6" w:rsidTr="00B211B4">
        <w:trPr>
          <w:jc w:val="center"/>
        </w:trPr>
        <w:tc>
          <w:tcPr>
            <w:tcW w:w="0" w:type="auto"/>
          </w:tcPr>
          <w:p w:rsidR="00C90843" w:rsidRPr="001F4FF6" w:rsidRDefault="00C90843" w:rsidP="00B211B4">
            <w:pPr>
              <w:keepLines/>
              <w:spacing w:before="120" w:after="120"/>
              <w:jc w:val="both"/>
              <w:rPr>
                <w:rFonts w:ascii="Lato" w:hAnsi="Lato"/>
                <w:color w:val="595959" w:themeColor="text1" w:themeTint="A6"/>
                <w:lang w:val="es-ES"/>
              </w:rPr>
            </w:pPr>
            <w:r w:rsidRPr="001F4FF6">
              <w:rPr>
                <w:rFonts w:ascii="Lato" w:hAnsi="Lato"/>
                <w:color w:val="595959" w:themeColor="text1" w:themeTint="A6"/>
                <w:lang w:val="es-ES"/>
              </w:rPr>
              <w:t>32</w:t>
            </w:r>
          </w:p>
        </w:tc>
        <w:tc>
          <w:tcPr>
            <w:tcW w:w="0" w:type="auto"/>
          </w:tcPr>
          <w:p w:rsidR="00C90843" w:rsidRPr="001F4FF6" w:rsidRDefault="00C90843" w:rsidP="00B211B4">
            <w:pPr>
              <w:keepLines/>
              <w:spacing w:before="120" w:after="120"/>
              <w:rPr>
                <w:rFonts w:ascii="Lato" w:hAnsi="Lato"/>
                <w:color w:val="595959" w:themeColor="text1" w:themeTint="A6"/>
                <w:lang w:val="es-ES"/>
              </w:rPr>
            </w:pPr>
            <w:r w:rsidRPr="001F4FF6">
              <w:rPr>
                <w:rFonts w:ascii="Lato" w:hAnsi="Lato"/>
                <w:color w:val="595959" w:themeColor="text1" w:themeTint="A6"/>
                <w:lang w:val="es-ES"/>
              </w:rPr>
              <w:t>RB Banco Chinchorro</w:t>
            </w:r>
          </w:p>
        </w:tc>
        <w:tc>
          <w:tcPr>
            <w:tcW w:w="0" w:type="auto"/>
            <w:shd w:val="clear" w:color="auto" w:fill="92D051"/>
          </w:tcPr>
          <w:p w:rsidR="00C90843" w:rsidRPr="001F4FF6" w:rsidRDefault="00C90843" w:rsidP="00B211B4">
            <w:pPr>
              <w:keepLines/>
              <w:spacing w:before="120" w:after="120"/>
              <w:rPr>
                <w:rFonts w:ascii="Lato" w:hAnsi="Lato"/>
                <w:color w:val="FFFFFF" w:themeColor="background1"/>
                <w:lang w:val="es-ES"/>
              </w:rPr>
            </w:pPr>
            <w:r w:rsidRPr="001F4FF6">
              <w:rPr>
                <w:rFonts w:ascii="Lato" w:hAnsi="Lato"/>
                <w:color w:val="FFFFFF" w:themeColor="background1"/>
                <w:lang w:val="es-ES"/>
              </w:rPr>
              <w:t>FANP donantes específicos</w:t>
            </w:r>
          </w:p>
        </w:tc>
      </w:tr>
      <w:tr w:rsidR="00C90843" w:rsidRPr="001F4FF6" w:rsidTr="00B211B4">
        <w:trPr>
          <w:jc w:val="center"/>
        </w:trPr>
        <w:tc>
          <w:tcPr>
            <w:tcW w:w="0" w:type="auto"/>
          </w:tcPr>
          <w:p w:rsidR="00C90843" w:rsidRPr="001F4FF6" w:rsidRDefault="00C90843" w:rsidP="00B211B4">
            <w:pPr>
              <w:keepLines/>
              <w:spacing w:before="120" w:after="120"/>
              <w:jc w:val="both"/>
              <w:rPr>
                <w:rFonts w:ascii="Lato" w:hAnsi="Lato"/>
                <w:color w:val="595959" w:themeColor="text1" w:themeTint="A6"/>
                <w:lang w:val="es-ES"/>
              </w:rPr>
            </w:pPr>
            <w:r w:rsidRPr="001F4FF6">
              <w:rPr>
                <w:rFonts w:ascii="Lato" w:hAnsi="Lato"/>
                <w:color w:val="595959" w:themeColor="text1" w:themeTint="A6"/>
                <w:lang w:val="es-ES"/>
              </w:rPr>
              <w:t>33</w:t>
            </w:r>
          </w:p>
        </w:tc>
        <w:tc>
          <w:tcPr>
            <w:tcW w:w="0" w:type="auto"/>
          </w:tcPr>
          <w:p w:rsidR="00C90843" w:rsidRPr="001F4FF6" w:rsidRDefault="00C90843" w:rsidP="00B211B4">
            <w:pPr>
              <w:keepLines/>
              <w:spacing w:before="120" w:after="120"/>
              <w:rPr>
                <w:rFonts w:ascii="Lato" w:hAnsi="Lato"/>
                <w:color w:val="595959" w:themeColor="text1" w:themeTint="A6"/>
                <w:lang w:val="es-ES"/>
              </w:rPr>
            </w:pPr>
            <w:r w:rsidRPr="001F4FF6">
              <w:rPr>
                <w:rFonts w:ascii="Lato" w:hAnsi="Lato"/>
                <w:color w:val="595959" w:themeColor="text1" w:themeTint="A6"/>
                <w:lang w:val="es-ES"/>
              </w:rPr>
              <w:t>PN Arrecifes de Xcalak</w:t>
            </w:r>
          </w:p>
        </w:tc>
        <w:tc>
          <w:tcPr>
            <w:tcW w:w="0" w:type="auto"/>
            <w:shd w:val="clear" w:color="auto" w:fill="92D051"/>
          </w:tcPr>
          <w:p w:rsidR="00C90843" w:rsidRPr="001F4FF6" w:rsidRDefault="00C90843" w:rsidP="00B211B4">
            <w:pPr>
              <w:keepLines/>
              <w:spacing w:before="120" w:after="120"/>
              <w:rPr>
                <w:rFonts w:ascii="Lato" w:hAnsi="Lato"/>
                <w:color w:val="FFFFFF" w:themeColor="background1"/>
                <w:lang w:val="es-ES"/>
              </w:rPr>
            </w:pPr>
            <w:r w:rsidRPr="001F4FF6">
              <w:rPr>
                <w:rFonts w:ascii="Lato" w:hAnsi="Lato"/>
                <w:color w:val="FFFFFF" w:themeColor="background1"/>
                <w:lang w:val="es-ES"/>
              </w:rPr>
              <w:t>FANP donantes específicos</w:t>
            </w:r>
          </w:p>
        </w:tc>
      </w:tr>
      <w:tr w:rsidR="00C90843" w:rsidRPr="001F4FF6" w:rsidTr="00B211B4">
        <w:trPr>
          <w:jc w:val="center"/>
        </w:trPr>
        <w:tc>
          <w:tcPr>
            <w:tcW w:w="0" w:type="auto"/>
          </w:tcPr>
          <w:p w:rsidR="00C90843" w:rsidRPr="001F4FF6" w:rsidRDefault="00C90843" w:rsidP="00B211B4">
            <w:pPr>
              <w:keepLines/>
              <w:spacing w:before="120" w:after="120"/>
              <w:jc w:val="both"/>
              <w:rPr>
                <w:rFonts w:ascii="Lato" w:hAnsi="Lato"/>
                <w:color w:val="595959" w:themeColor="text1" w:themeTint="A6"/>
                <w:lang w:val="es-ES"/>
              </w:rPr>
            </w:pPr>
            <w:r w:rsidRPr="001F4FF6">
              <w:rPr>
                <w:rFonts w:ascii="Lato" w:hAnsi="Lato"/>
                <w:color w:val="595959" w:themeColor="text1" w:themeTint="A6"/>
                <w:lang w:val="es-ES"/>
              </w:rPr>
              <w:lastRenderedPageBreak/>
              <w:t>34</w:t>
            </w:r>
          </w:p>
        </w:tc>
        <w:tc>
          <w:tcPr>
            <w:tcW w:w="0" w:type="auto"/>
          </w:tcPr>
          <w:p w:rsidR="00C90843" w:rsidRPr="001F4FF6" w:rsidRDefault="00C90843" w:rsidP="00B211B4">
            <w:pPr>
              <w:keepLines/>
              <w:spacing w:before="120" w:after="120"/>
              <w:rPr>
                <w:rFonts w:ascii="Lato" w:hAnsi="Lato"/>
                <w:color w:val="595959" w:themeColor="text1" w:themeTint="A6"/>
                <w:lang w:val="es-ES"/>
              </w:rPr>
            </w:pPr>
            <w:r w:rsidRPr="001F4FF6">
              <w:rPr>
                <w:rFonts w:ascii="Lato" w:hAnsi="Lato"/>
                <w:color w:val="595959" w:themeColor="text1" w:themeTint="A6"/>
                <w:lang w:val="es-ES"/>
              </w:rPr>
              <w:t>APFF Bavispe</w:t>
            </w:r>
          </w:p>
        </w:tc>
        <w:tc>
          <w:tcPr>
            <w:tcW w:w="0" w:type="auto"/>
            <w:shd w:val="clear" w:color="auto" w:fill="92D051"/>
          </w:tcPr>
          <w:p w:rsidR="00C90843" w:rsidRPr="001F4FF6" w:rsidRDefault="00C90843" w:rsidP="00B211B4">
            <w:pPr>
              <w:keepLines/>
              <w:spacing w:before="120" w:after="120"/>
              <w:rPr>
                <w:rFonts w:ascii="Lato" w:hAnsi="Lato"/>
                <w:color w:val="FFFFFF" w:themeColor="background1"/>
                <w:lang w:val="es-ES"/>
              </w:rPr>
            </w:pPr>
            <w:r w:rsidRPr="001F4FF6">
              <w:rPr>
                <w:rFonts w:ascii="Lato" w:hAnsi="Lato"/>
                <w:color w:val="FFFFFF" w:themeColor="background1"/>
                <w:lang w:val="es-ES"/>
              </w:rPr>
              <w:t>FANP donantes específicos</w:t>
            </w:r>
          </w:p>
        </w:tc>
      </w:tr>
      <w:tr w:rsidR="00C90843" w:rsidRPr="001F4FF6" w:rsidTr="00B211B4">
        <w:trPr>
          <w:jc w:val="center"/>
        </w:trPr>
        <w:tc>
          <w:tcPr>
            <w:tcW w:w="0" w:type="auto"/>
          </w:tcPr>
          <w:p w:rsidR="00C90843" w:rsidRPr="001F4FF6" w:rsidRDefault="00C90843" w:rsidP="00B211B4">
            <w:pPr>
              <w:keepLines/>
              <w:spacing w:before="120" w:after="120"/>
              <w:jc w:val="both"/>
              <w:rPr>
                <w:rFonts w:ascii="Lato" w:hAnsi="Lato"/>
                <w:color w:val="595959" w:themeColor="text1" w:themeTint="A6"/>
                <w:lang w:val="es-ES"/>
              </w:rPr>
            </w:pPr>
            <w:r w:rsidRPr="001F4FF6">
              <w:rPr>
                <w:rFonts w:ascii="Lato" w:hAnsi="Lato"/>
                <w:color w:val="595959" w:themeColor="text1" w:themeTint="A6"/>
                <w:lang w:val="es-ES"/>
              </w:rPr>
              <w:t>35</w:t>
            </w:r>
          </w:p>
        </w:tc>
        <w:tc>
          <w:tcPr>
            <w:tcW w:w="0" w:type="auto"/>
          </w:tcPr>
          <w:p w:rsidR="00C90843" w:rsidRPr="001F4FF6" w:rsidRDefault="00C90843" w:rsidP="00B211B4">
            <w:pPr>
              <w:keepLines/>
              <w:spacing w:before="120" w:after="120"/>
              <w:rPr>
                <w:rFonts w:ascii="Lato" w:hAnsi="Lato"/>
                <w:color w:val="595959" w:themeColor="text1" w:themeTint="A6"/>
                <w:lang w:val="es-ES"/>
              </w:rPr>
            </w:pPr>
            <w:r w:rsidRPr="001F4FF6">
              <w:rPr>
                <w:rFonts w:ascii="Lato" w:hAnsi="Lato"/>
                <w:color w:val="595959" w:themeColor="text1" w:themeTint="A6"/>
                <w:lang w:val="es-ES"/>
              </w:rPr>
              <w:t>RB El Triunfo</w:t>
            </w:r>
          </w:p>
        </w:tc>
        <w:tc>
          <w:tcPr>
            <w:tcW w:w="0" w:type="auto"/>
            <w:shd w:val="clear" w:color="auto" w:fill="92D051"/>
          </w:tcPr>
          <w:p w:rsidR="00C90843" w:rsidRPr="001F4FF6" w:rsidRDefault="00C90843" w:rsidP="00B211B4">
            <w:pPr>
              <w:keepLines/>
              <w:spacing w:before="120" w:after="120"/>
              <w:rPr>
                <w:rFonts w:ascii="Lato" w:hAnsi="Lato"/>
                <w:color w:val="FFFFFF" w:themeColor="background1"/>
                <w:lang w:val="es-ES"/>
              </w:rPr>
            </w:pPr>
            <w:r w:rsidRPr="001F4FF6">
              <w:rPr>
                <w:rFonts w:ascii="Lato" w:hAnsi="Lato"/>
                <w:color w:val="FFFFFF" w:themeColor="background1"/>
                <w:lang w:val="es-ES"/>
              </w:rPr>
              <w:t>FANP donantes específicos</w:t>
            </w:r>
          </w:p>
        </w:tc>
      </w:tr>
      <w:tr w:rsidR="00C90843" w:rsidRPr="001F4FF6" w:rsidTr="00B211B4">
        <w:trPr>
          <w:jc w:val="center"/>
        </w:trPr>
        <w:tc>
          <w:tcPr>
            <w:tcW w:w="0" w:type="auto"/>
          </w:tcPr>
          <w:p w:rsidR="00C90843" w:rsidRPr="001F4FF6" w:rsidRDefault="00C90843" w:rsidP="00B211B4">
            <w:pPr>
              <w:keepLines/>
              <w:spacing w:before="120" w:after="120"/>
              <w:jc w:val="both"/>
              <w:rPr>
                <w:rFonts w:ascii="Lato" w:hAnsi="Lato"/>
                <w:color w:val="595959" w:themeColor="text1" w:themeTint="A6"/>
                <w:lang w:val="es-ES"/>
              </w:rPr>
            </w:pPr>
            <w:r w:rsidRPr="001F4FF6">
              <w:rPr>
                <w:rFonts w:ascii="Lato" w:hAnsi="Lato"/>
                <w:color w:val="595959" w:themeColor="text1" w:themeTint="A6"/>
                <w:lang w:val="es-ES"/>
              </w:rPr>
              <w:t>36</w:t>
            </w:r>
          </w:p>
        </w:tc>
        <w:tc>
          <w:tcPr>
            <w:tcW w:w="0" w:type="auto"/>
          </w:tcPr>
          <w:p w:rsidR="00C90843" w:rsidRPr="001F4FF6" w:rsidRDefault="00C90843" w:rsidP="00B211B4">
            <w:pPr>
              <w:keepLines/>
              <w:spacing w:before="120" w:after="120"/>
              <w:rPr>
                <w:rFonts w:ascii="Lato" w:hAnsi="Lato"/>
                <w:color w:val="595959" w:themeColor="text1" w:themeTint="A6"/>
                <w:lang w:val="es-ES"/>
              </w:rPr>
            </w:pPr>
            <w:r w:rsidRPr="001F4FF6">
              <w:rPr>
                <w:rFonts w:ascii="Lato" w:hAnsi="Lato"/>
                <w:color w:val="595959" w:themeColor="text1" w:themeTint="A6"/>
                <w:lang w:val="es-ES"/>
              </w:rPr>
              <w:t>RB Sierra de Manantlán</w:t>
            </w:r>
          </w:p>
        </w:tc>
        <w:tc>
          <w:tcPr>
            <w:tcW w:w="0" w:type="auto"/>
            <w:shd w:val="clear" w:color="auto" w:fill="92D051"/>
          </w:tcPr>
          <w:p w:rsidR="00C90843" w:rsidRPr="001F4FF6" w:rsidRDefault="00C90843" w:rsidP="00B211B4">
            <w:pPr>
              <w:keepLines/>
              <w:spacing w:before="120" w:after="120"/>
              <w:rPr>
                <w:rFonts w:ascii="Lato" w:hAnsi="Lato"/>
                <w:color w:val="FFFFFF" w:themeColor="background1"/>
                <w:lang w:val="es-ES"/>
              </w:rPr>
            </w:pPr>
            <w:r w:rsidRPr="001F4FF6">
              <w:rPr>
                <w:rFonts w:ascii="Lato" w:hAnsi="Lato"/>
                <w:color w:val="FFFFFF" w:themeColor="background1"/>
                <w:lang w:val="es-ES"/>
              </w:rPr>
              <w:t>FANP donantes específicos</w:t>
            </w:r>
          </w:p>
        </w:tc>
      </w:tr>
      <w:tr w:rsidR="00C90843" w:rsidRPr="001F4FF6" w:rsidTr="00B211B4">
        <w:trPr>
          <w:jc w:val="center"/>
        </w:trPr>
        <w:tc>
          <w:tcPr>
            <w:tcW w:w="0" w:type="auto"/>
          </w:tcPr>
          <w:p w:rsidR="00C90843" w:rsidRPr="001F4FF6" w:rsidRDefault="00C90843" w:rsidP="00B211B4">
            <w:pPr>
              <w:keepLines/>
              <w:spacing w:before="120" w:after="120"/>
              <w:jc w:val="both"/>
              <w:rPr>
                <w:rFonts w:ascii="Lato" w:hAnsi="Lato"/>
                <w:color w:val="595959" w:themeColor="text1" w:themeTint="A6"/>
                <w:lang w:val="es-ES"/>
              </w:rPr>
            </w:pPr>
            <w:r w:rsidRPr="001F4FF6">
              <w:rPr>
                <w:rFonts w:ascii="Lato" w:hAnsi="Lato"/>
                <w:color w:val="595959" w:themeColor="text1" w:themeTint="A6"/>
                <w:lang w:val="es-ES"/>
              </w:rPr>
              <w:t>37</w:t>
            </w:r>
          </w:p>
        </w:tc>
        <w:tc>
          <w:tcPr>
            <w:tcW w:w="0" w:type="auto"/>
          </w:tcPr>
          <w:p w:rsidR="00C90843" w:rsidRPr="001F4FF6" w:rsidRDefault="00C90843" w:rsidP="00B211B4">
            <w:pPr>
              <w:keepLines/>
              <w:spacing w:before="120" w:after="120"/>
              <w:rPr>
                <w:rFonts w:ascii="Lato" w:hAnsi="Lato"/>
                <w:color w:val="595959" w:themeColor="text1" w:themeTint="A6"/>
                <w:lang w:val="es-ES"/>
              </w:rPr>
            </w:pPr>
            <w:r w:rsidRPr="001F4FF6">
              <w:rPr>
                <w:rFonts w:ascii="Lato" w:hAnsi="Lato"/>
                <w:color w:val="595959" w:themeColor="text1" w:themeTint="A6"/>
                <w:lang w:val="es-ES"/>
              </w:rPr>
              <w:t>PN Zona Marina del Archipiélago de Espíritu Santo</w:t>
            </w:r>
          </w:p>
        </w:tc>
        <w:tc>
          <w:tcPr>
            <w:tcW w:w="0" w:type="auto"/>
            <w:shd w:val="clear" w:color="auto" w:fill="92D051"/>
          </w:tcPr>
          <w:p w:rsidR="00C90843" w:rsidRPr="001F4FF6" w:rsidRDefault="00C90843" w:rsidP="00B211B4">
            <w:pPr>
              <w:keepLines/>
              <w:spacing w:before="120" w:after="120"/>
              <w:rPr>
                <w:rFonts w:ascii="Lato" w:hAnsi="Lato"/>
                <w:color w:val="FFFFFF" w:themeColor="background1"/>
                <w:lang w:val="es-ES"/>
              </w:rPr>
            </w:pPr>
            <w:r w:rsidRPr="001F4FF6">
              <w:rPr>
                <w:rFonts w:ascii="Lato" w:hAnsi="Lato"/>
                <w:color w:val="FFFFFF" w:themeColor="background1"/>
                <w:lang w:val="es-ES"/>
              </w:rPr>
              <w:t>FANP donantes específicos</w:t>
            </w:r>
          </w:p>
        </w:tc>
      </w:tr>
      <w:tr w:rsidR="00C90843" w:rsidRPr="001F4FF6" w:rsidTr="00B211B4">
        <w:trPr>
          <w:jc w:val="center"/>
        </w:trPr>
        <w:tc>
          <w:tcPr>
            <w:tcW w:w="0" w:type="auto"/>
          </w:tcPr>
          <w:p w:rsidR="00C90843" w:rsidRPr="001F4FF6" w:rsidRDefault="00C90843" w:rsidP="00B211B4">
            <w:pPr>
              <w:keepLines/>
              <w:spacing w:before="120" w:after="120"/>
              <w:jc w:val="both"/>
              <w:rPr>
                <w:rFonts w:ascii="Lato" w:hAnsi="Lato"/>
                <w:color w:val="595959" w:themeColor="text1" w:themeTint="A6"/>
                <w:lang w:val="es-ES"/>
              </w:rPr>
            </w:pPr>
            <w:r w:rsidRPr="001F4FF6">
              <w:rPr>
                <w:rFonts w:ascii="Lato" w:hAnsi="Lato"/>
                <w:color w:val="595959" w:themeColor="text1" w:themeTint="A6"/>
                <w:lang w:val="es-ES"/>
              </w:rPr>
              <w:t>38</w:t>
            </w:r>
          </w:p>
        </w:tc>
        <w:tc>
          <w:tcPr>
            <w:tcW w:w="0" w:type="auto"/>
          </w:tcPr>
          <w:p w:rsidR="00C90843" w:rsidRPr="001F4FF6" w:rsidRDefault="00C90843" w:rsidP="00B211B4">
            <w:pPr>
              <w:keepLines/>
              <w:spacing w:before="120" w:after="120"/>
              <w:rPr>
                <w:rFonts w:ascii="Lato" w:hAnsi="Lato"/>
                <w:color w:val="595959" w:themeColor="text1" w:themeTint="A6"/>
                <w:lang w:val="es-ES"/>
              </w:rPr>
            </w:pPr>
            <w:r w:rsidRPr="001F4FF6">
              <w:rPr>
                <w:rFonts w:ascii="Lato" w:hAnsi="Lato"/>
                <w:color w:val="595959" w:themeColor="text1" w:themeTint="A6"/>
                <w:lang w:val="es-ES"/>
              </w:rPr>
              <w:t xml:space="preserve">RB Zona Marina Bahía de los Ángeles, Canales de Ballenas y de Salsipuedes </w:t>
            </w:r>
          </w:p>
        </w:tc>
        <w:tc>
          <w:tcPr>
            <w:tcW w:w="0" w:type="auto"/>
            <w:shd w:val="clear" w:color="auto" w:fill="FFC000"/>
          </w:tcPr>
          <w:p w:rsidR="00C90843" w:rsidRPr="001F4FF6" w:rsidRDefault="00C90843" w:rsidP="00B211B4">
            <w:pPr>
              <w:keepLines/>
              <w:spacing w:before="120" w:after="120"/>
              <w:rPr>
                <w:rFonts w:ascii="Lato" w:hAnsi="Lato"/>
                <w:color w:val="FFFFFF" w:themeColor="background1"/>
                <w:lang w:val="es-ES"/>
              </w:rPr>
            </w:pPr>
            <w:r w:rsidRPr="001F4FF6">
              <w:rPr>
                <w:rFonts w:ascii="Lato" w:hAnsi="Lato"/>
                <w:color w:val="FFFFFF" w:themeColor="background1"/>
                <w:lang w:val="es-ES"/>
              </w:rPr>
              <w:t>FGC</w:t>
            </w:r>
          </w:p>
        </w:tc>
      </w:tr>
      <w:tr w:rsidR="00C90843" w:rsidRPr="001F4FF6" w:rsidTr="00B211B4">
        <w:trPr>
          <w:jc w:val="center"/>
        </w:trPr>
        <w:tc>
          <w:tcPr>
            <w:tcW w:w="0" w:type="auto"/>
          </w:tcPr>
          <w:p w:rsidR="00C90843" w:rsidRPr="001F4FF6" w:rsidRDefault="00C90843" w:rsidP="00B211B4">
            <w:pPr>
              <w:keepLines/>
              <w:spacing w:before="120" w:after="120"/>
              <w:jc w:val="both"/>
              <w:rPr>
                <w:rFonts w:ascii="Lato" w:hAnsi="Lato"/>
                <w:color w:val="595959" w:themeColor="text1" w:themeTint="A6"/>
                <w:lang w:val="es-ES"/>
              </w:rPr>
            </w:pPr>
            <w:r w:rsidRPr="001F4FF6">
              <w:rPr>
                <w:rFonts w:ascii="Lato" w:hAnsi="Lato"/>
                <w:color w:val="595959" w:themeColor="text1" w:themeTint="A6"/>
                <w:lang w:val="es-ES"/>
              </w:rPr>
              <w:t>39</w:t>
            </w:r>
          </w:p>
        </w:tc>
        <w:tc>
          <w:tcPr>
            <w:tcW w:w="0" w:type="auto"/>
          </w:tcPr>
          <w:p w:rsidR="00C90843" w:rsidRPr="001F4FF6" w:rsidRDefault="00C90843" w:rsidP="00B211B4">
            <w:pPr>
              <w:keepLines/>
              <w:spacing w:before="120" w:after="120"/>
              <w:rPr>
                <w:rFonts w:ascii="Lato" w:hAnsi="Lato"/>
                <w:color w:val="595959" w:themeColor="text1" w:themeTint="A6"/>
                <w:lang w:val="es-ES"/>
              </w:rPr>
            </w:pPr>
            <w:r w:rsidRPr="001F4FF6">
              <w:rPr>
                <w:rFonts w:ascii="Lato" w:hAnsi="Lato"/>
                <w:color w:val="595959" w:themeColor="text1" w:themeTint="A6"/>
                <w:lang w:val="es-ES"/>
              </w:rPr>
              <w:t>PN Islas Marietas</w:t>
            </w:r>
          </w:p>
        </w:tc>
        <w:tc>
          <w:tcPr>
            <w:tcW w:w="0" w:type="auto"/>
            <w:shd w:val="clear" w:color="auto" w:fill="FFC000"/>
          </w:tcPr>
          <w:p w:rsidR="00C90843" w:rsidRPr="001F4FF6" w:rsidRDefault="00C90843" w:rsidP="00B211B4">
            <w:pPr>
              <w:keepLines/>
              <w:spacing w:before="120" w:after="120"/>
              <w:rPr>
                <w:rFonts w:ascii="Lato" w:hAnsi="Lato"/>
                <w:color w:val="FFFFFF" w:themeColor="background1"/>
                <w:lang w:val="es-ES"/>
              </w:rPr>
            </w:pPr>
            <w:r w:rsidRPr="001F4FF6">
              <w:rPr>
                <w:rFonts w:ascii="Lato" w:hAnsi="Lato"/>
                <w:color w:val="FFFFFF" w:themeColor="background1"/>
                <w:lang w:val="es-ES"/>
              </w:rPr>
              <w:t>FGC</w:t>
            </w:r>
          </w:p>
        </w:tc>
      </w:tr>
      <w:tr w:rsidR="00C90843" w:rsidRPr="001F4FF6" w:rsidTr="00B211B4">
        <w:trPr>
          <w:jc w:val="center"/>
        </w:trPr>
        <w:tc>
          <w:tcPr>
            <w:tcW w:w="0" w:type="auto"/>
          </w:tcPr>
          <w:p w:rsidR="00C90843" w:rsidRPr="001F4FF6" w:rsidRDefault="00C90843" w:rsidP="00B211B4">
            <w:pPr>
              <w:keepLines/>
              <w:spacing w:before="120" w:after="120"/>
              <w:jc w:val="both"/>
              <w:rPr>
                <w:rFonts w:ascii="Lato" w:hAnsi="Lato"/>
                <w:color w:val="595959" w:themeColor="text1" w:themeTint="A6"/>
                <w:lang w:val="es-ES"/>
              </w:rPr>
            </w:pPr>
            <w:r w:rsidRPr="001F4FF6">
              <w:rPr>
                <w:rFonts w:ascii="Lato" w:hAnsi="Lato"/>
                <w:color w:val="595959" w:themeColor="text1" w:themeTint="A6"/>
                <w:lang w:val="es-ES"/>
              </w:rPr>
              <w:t>40</w:t>
            </w:r>
          </w:p>
        </w:tc>
        <w:tc>
          <w:tcPr>
            <w:tcW w:w="0" w:type="auto"/>
          </w:tcPr>
          <w:p w:rsidR="00C90843" w:rsidRPr="001F4FF6" w:rsidRDefault="00C90843" w:rsidP="00B211B4">
            <w:pPr>
              <w:keepLines/>
              <w:spacing w:before="120" w:after="120"/>
              <w:rPr>
                <w:rFonts w:ascii="Lato" w:hAnsi="Lato"/>
                <w:color w:val="595959" w:themeColor="text1" w:themeTint="A6"/>
                <w:lang w:val="es-ES"/>
              </w:rPr>
            </w:pPr>
            <w:r w:rsidRPr="001F4FF6">
              <w:rPr>
                <w:rFonts w:ascii="Lato" w:hAnsi="Lato"/>
                <w:color w:val="595959" w:themeColor="text1" w:themeTint="A6"/>
                <w:lang w:val="es-ES"/>
              </w:rPr>
              <w:t>PN Isla Isabel</w:t>
            </w:r>
          </w:p>
        </w:tc>
        <w:tc>
          <w:tcPr>
            <w:tcW w:w="0" w:type="auto"/>
            <w:shd w:val="clear" w:color="auto" w:fill="FFC000"/>
          </w:tcPr>
          <w:p w:rsidR="00C90843" w:rsidRPr="001F4FF6" w:rsidRDefault="00C90843" w:rsidP="00B211B4">
            <w:pPr>
              <w:keepLines/>
              <w:spacing w:before="120" w:after="120"/>
              <w:rPr>
                <w:rFonts w:ascii="Lato" w:hAnsi="Lato"/>
                <w:color w:val="FFFFFF" w:themeColor="background1"/>
                <w:lang w:val="es-ES"/>
              </w:rPr>
            </w:pPr>
            <w:r w:rsidRPr="001F4FF6">
              <w:rPr>
                <w:rFonts w:ascii="Lato" w:hAnsi="Lato"/>
                <w:color w:val="FFFFFF" w:themeColor="background1"/>
                <w:lang w:val="es-ES"/>
              </w:rPr>
              <w:t>FGC</w:t>
            </w:r>
          </w:p>
        </w:tc>
      </w:tr>
      <w:tr w:rsidR="00C90843" w:rsidRPr="001F4FF6" w:rsidTr="00B211B4">
        <w:trPr>
          <w:jc w:val="center"/>
        </w:trPr>
        <w:tc>
          <w:tcPr>
            <w:tcW w:w="0" w:type="auto"/>
          </w:tcPr>
          <w:p w:rsidR="00C90843" w:rsidRPr="001F4FF6" w:rsidRDefault="00C90843" w:rsidP="00B211B4">
            <w:pPr>
              <w:keepLines/>
              <w:spacing w:before="120" w:after="120"/>
              <w:jc w:val="both"/>
              <w:rPr>
                <w:rFonts w:ascii="Lato" w:hAnsi="Lato"/>
                <w:color w:val="595959" w:themeColor="text1" w:themeTint="A6"/>
                <w:lang w:val="es-ES"/>
              </w:rPr>
            </w:pPr>
            <w:r w:rsidRPr="001F4FF6">
              <w:rPr>
                <w:rFonts w:ascii="Lato" w:hAnsi="Lato"/>
                <w:color w:val="595959" w:themeColor="text1" w:themeTint="A6"/>
                <w:lang w:val="es-ES"/>
              </w:rPr>
              <w:t>41</w:t>
            </w:r>
          </w:p>
        </w:tc>
        <w:tc>
          <w:tcPr>
            <w:tcW w:w="0" w:type="auto"/>
          </w:tcPr>
          <w:p w:rsidR="00C90843" w:rsidRPr="001F4FF6" w:rsidRDefault="00C90843" w:rsidP="00B211B4">
            <w:pPr>
              <w:keepLines/>
              <w:spacing w:before="120" w:after="120"/>
              <w:rPr>
                <w:rFonts w:ascii="Lato" w:hAnsi="Lato"/>
                <w:color w:val="595959" w:themeColor="text1" w:themeTint="A6"/>
                <w:lang w:val="es-ES"/>
              </w:rPr>
            </w:pPr>
            <w:r w:rsidRPr="001F4FF6">
              <w:rPr>
                <w:rFonts w:ascii="Lato" w:hAnsi="Lato"/>
                <w:color w:val="595959" w:themeColor="text1" w:themeTint="A6"/>
                <w:lang w:val="es-ES"/>
              </w:rPr>
              <w:t>RB Islas Marías</w:t>
            </w:r>
          </w:p>
        </w:tc>
        <w:tc>
          <w:tcPr>
            <w:tcW w:w="0" w:type="auto"/>
            <w:shd w:val="clear" w:color="auto" w:fill="FF0000"/>
          </w:tcPr>
          <w:p w:rsidR="00C90843" w:rsidRPr="001F4FF6" w:rsidRDefault="00C90843" w:rsidP="00B211B4">
            <w:pPr>
              <w:keepLines/>
              <w:spacing w:before="120" w:after="120"/>
              <w:rPr>
                <w:rFonts w:ascii="Lato" w:hAnsi="Lato"/>
                <w:color w:val="FFFFFF" w:themeColor="background1"/>
                <w:lang w:val="es-ES"/>
              </w:rPr>
            </w:pPr>
            <w:r w:rsidRPr="001F4FF6">
              <w:rPr>
                <w:rFonts w:ascii="Lato" w:hAnsi="Lato"/>
                <w:color w:val="FFFFFF" w:themeColor="background1"/>
                <w:lang w:val="es-ES"/>
              </w:rPr>
              <w:t>C6</w:t>
            </w:r>
          </w:p>
        </w:tc>
      </w:tr>
      <w:tr w:rsidR="00C90843" w:rsidRPr="001F4FF6" w:rsidTr="00B211B4">
        <w:trPr>
          <w:jc w:val="center"/>
        </w:trPr>
        <w:tc>
          <w:tcPr>
            <w:tcW w:w="0" w:type="auto"/>
          </w:tcPr>
          <w:p w:rsidR="00C90843" w:rsidRPr="001F4FF6" w:rsidRDefault="00C90843" w:rsidP="00B211B4">
            <w:pPr>
              <w:keepLines/>
              <w:spacing w:before="120" w:after="120"/>
              <w:jc w:val="both"/>
              <w:rPr>
                <w:rFonts w:ascii="Lato" w:hAnsi="Lato"/>
                <w:color w:val="595959" w:themeColor="text1" w:themeTint="A6"/>
                <w:lang w:val="es-ES"/>
              </w:rPr>
            </w:pPr>
            <w:r w:rsidRPr="001F4FF6">
              <w:rPr>
                <w:rFonts w:ascii="Lato" w:hAnsi="Lato"/>
                <w:color w:val="595959" w:themeColor="text1" w:themeTint="A6"/>
                <w:lang w:val="es-ES"/>
              </w:rPr>
              <w:t>42</w:t>
            </w:r>
          </w:p>
        </w:tc>
        <w:tc>
          <w:tcPr>
            <w:tcW w:w="0" w:type="auto"/>
          </w:tcPr>
          <w:p w:rsidR="00C90843" w:rsidRPr="001F4FF6" w:rsidRDefault="00C90843" w:rsidP="00B211B4">
            <w:pPr>
              <w:keepLines/>
              <w:spacing w:before="120" w:after="120"/>
              <w:rPr>
                <w:rFonts w:ascii="Lato" w:hAnsi="Lato"/>
                <w:color w:val="595959" w:themeColor="text1" w:themeTint="A6"/>
                <w:lang w:val="es-ES"/>
              </w:rPr>
            </w:pPr>
            <w:r w:rsidRPr="001F4FF6">
              <w:rPr>
                <w:rFonts w:ascii="Lato" w:hAnsi="Lato"/>
                <w:color w:val="595959" w:themeColor="text1" w:themeTint="A6"/>
                <w:lang w:val="es-ES"/>
              </w:rPr>
              <w:t>RB Marismas Nacionales Nayarit</w:t>
            </w:r>
          </w:p>
        </w:tc>
        <w:tc>
          <w:tcPr>
            <w:tcW w:w="0" w:type="auto"/>
            <w:shd w:val="clear" w:color="auto" w:fill="FF0000"/>
          </w:tcPr>
          <w:p w:rsidR="00C90843" w:rsidRPr="001F4FF6" w:rsidRDefault="00C90843" w:rsidP="00B211B4">
            <w:pPr>
              <w:keepLines/>
              <w:spacing w:before="120" w:after="120"/>
              <w:rPr>
                <w:rFonts w:ascii="Lato" w:hAnsi="Lato"/>
                <w:color w:val="FFFFFF" w:themeColor="background1"/>
                <w:lang w:val="es-ES"/>
              </w:rPr>
            </w:pPr>
            <w:r w:rsidRPr="001F4FF6">
              <w:rPr>
                <w:rFonts w:ascii="Lato" w:hAnsi="Lato"/>
                <w:color w:val="FFFFFF" w:themeColor="background1"/>
                <w:lang w:val="es-ES"/>
              </w:rPr>
              <w:t>C6</w:t>
            </w:r>
          </w:p>
        </w:tc>
      </w:tr>
      <w:tr w:rsidR="00C90843" w:rsidRPr="001F4FF6" w:rsidTr="00B211B4">
        <w:trPr>
          <w:jc w:val="center"/>
        </w:trPr>
        <w:tc>
          <w:tcPr>
            <w:tcW w:w="0" w:type="auto"/>
          </w:tcPr>
          <w:p w:rsidR="00C90843" w:rsidRPr="001F4FF6" w:rsidRDefault="00C90843" w:rsidP="00B211B4">
            <w:pPr>
              <w:keepLines/>
              <w:spacing w:before="120" w:after="120"/>
              <w:jc w:val="both"/>
              <w:rPr>
                <w:rFonts w:ascii="Lato" w:hAnsi="Lato"/>
                <w:color w:val="595959" w:themeColor="text1" w:themeTint="A6"/>
                <w:lang w:val="es-ES"/>
              </w:rPr>
            </w:pPr>
            <w:r w:rsidRPr="001F4FF6">
              <w:rPr>
                <w:rFonts w:ascii="Lato" w:hAnsi="Lato"/>
                <w:color w:val="595959" w:themeColor="text1" w:themeTint="A6"/>
                <w:lang w:val="es-ES"/>
              </w:rPr>
              <w:t>43</w:t>
            </w:r>
          </w:p>
        </w:tc>
        <w:tc>
          <w:tcPr>
            <w:tcW w:w="0" w:type="auto"/>
          </w:tcPr>
          <w:p w:rsidR="00C90843" w:rsidRPr="001F4FF6" w:rsidRDefault="00C90843" w:rsidP="00B211B4">
            <w:pPr>
              <w:keepLines/>
              <w:spacing w:before="120" w:after="120"/>
              <w:rPr>
                <w:rFonts w:ascii="Lato" w:hAnsi="Lato"/>
                <w:color w:val="595959" w:themeColor="text1" w:themeTint="A6"/>
                <w:lang w:val="es-ES"/>
              </w:rPr>
            </w:pPr>
            <w:r w:rsidRPr="001F4FF6">
              <w:rPr>
                <w:rFonts w:ascii="Lato" w:hAnsi="Lato"/>
                <w:color w:val="595959" w:themeColor="text1" w:themeTint="A6"/>
                <w:lang w:val="es-ES"/>
              </w:rPr>
              <w:t>Sierra de Vallejo - Río Amec</w:t>
            </w:r>
            <w:r>
              <w:rPr>
                <w:rFonts w:ascii="Lato" w:hAnsi="Lato"/>
                <w:color w:val="595959" w:themeColor="text1" w:themeTint="A6"/>
                <w:lang w:val="es-ES"/>
              </w:rPr>
              <w:t>a</w:t>
            </w:r>
          </w:p>
        </w:tc>
        <w:tc>
          <w:tcPr>
            <w:tcW w:w="0" w:type="auto"/>
            <w:shd w:val="clear" w:color="auto" w:fill="FF0000"/>
          </w:tcPr>
          <w:p w:rsidR="00C90843" w:rsidRPr="001F4FF6" w:rsidRDefault="00C90843" w:rsidP="00B211B4">
            <w:pPr>
              <w:keepLines/>
              <w:spacing w:before="120" w:after="120"/>
              <w:rPr>
                <w:rFonts w:ascii="Lato" w:hAnsi="Lato"/>
                <w:color w:val="FFFFFF" w:themeColor="background1"/>
                <w:lang w:val="es-ES"/>
              </w:rPr>
            </w:pPr>
            <w:r w:rsidRPr="001F4FF6">
              <w:rPr>
                <w:rFonts w:ascii="Lato" w:hAnsi="Lato"/>
                <w:color w:val="FFFFFF" w:themeColor="background1"/>
                <w:lang w:val="es-ES"/>
              </w:rPr>
              <w:t>C6</w:t>
            </w:r>
          </w:p>
        </w:tc>
      </w:tr>
      <w:tr w:rsidR="00C90843" w:rsidRPr="001F4FF6" w:rsidTr="00B211B4">
        <w:trPr>
          <w:jc w:val="center"/>
        </w:trPr>
        <w:tc>
          <w:tcPr>
            <w:tcW w:w="0" w:type="auto"/>
          </w:tcPr>
          <w:p w:rsidR="00C90843" w:rsidRPr="001F4FF6" w:rsidRDefault="00C90843" w:rsidP="00B211B4">
            <w:pPr>
              <w:keepLines/>
              <w:spacing w:before="120" w:after="120"/>
              <w:jc w:val="both"/>
              <w:rPr>
                <w:rFonts w:ascii="Lato" w:hAnsi="Lato"/>
                <w:color w:val="595959" w:themeColor="text1" w:themeTint="A6"/>
                <w:lang w:val="es-ES"/>
              </w:rPr>
            </w:pPr>
            <w:r w:rsidRPr="001F4FF6">
              <w:rPr>
                <w:rFonts w:ascii="Lato" w:hAnsi="Lato"/>
                <w:color w:val="595959" w:themeColor="text1" w:themeTint="A6"/>
                <w:lang w:val="es-ES"/>
              </w:rPr>
              <w:t>44</w:t>
            </w:r>
          </w:p>
        </w:tc>
        <w:tc>
          <w:tcPr>
            <w:tcW w:w="0" w:type="auto"/>
          </w:tcPr>
          <w:p w:rsidR="00C90843" w:rsidRPr="001F4FF6" w:rsidRDefault="00C90843" w:rsidP="00B211B4">
            <w:pPr>
              <w:keepLines/>
              <w:spacing w:before="120" w:after="120"/>
              <w:rPr>
                <w:rFonts w:ascii="Lato" w:hAnsi="Lato"/>
                <w:color w:val="595959" w:themeColor="text1" w:themeTint="A6"/>
                <w:lang w:val="es-ES"/>
              </w:rPr>
            </w:pPr>
            <w:r w:rsidRPr="001F4FF6">
              <w:rPr>
                <w:rFonts w:ascii="Lato" w:hAnsi="Lato"/>
                <w:color w:val="595959" w:themeColor="text1" w:themeTint="A6"/>
                <w:lang w:val="es-ES"/>
              </w:rPr>
              <w:t>PN Cofre de Perote o Nauhcampatépetl</w:t>
            </w:r>
          </w:p>
        </w:tc>
        <w:tc>
          <w:tcPr>
            <w:tcW w:w="0" w:type="auto"/>
            <w:shd w:val="clear" w:color="auto" w:fill="FF0000"/>
          </w:tcPr>
          <w:p w:rsidR="00C90843" w:rsidRPr="001F4FF6" w:rsidRDefault="00C90843" w:rsidP="00B211B4">
            <w:pPr>
              <w:keepLines/>
              <w:spacing w:before="120" w:after="120"/>
              <w:rPr>
                <w:rFonts w:ascii="Lato" w:hAnsi="Lato"/>
                <w:color w:val="FFFFFF" w:themeColor="background1"/>
                <w:lang w:val="es-ES"/>
              </w:rPr>
            </w:pPr>
            <w:r w:rsidRPr="001F4FF6">
              <w:rPr>
                <w:rFonts w:ascii="Lato" w:hAnsi="Lato"/>
                <w:color w:val="FFFFFF" w:themeColor="background1"/>
                <w:lang w:val="es-ES"/>
              </w:rPr>
              <w:t>C6</w:t>
            </w:r>
          </w:p>
        </w:tc>
      </w:tr>
      <w:tr w:rsidR="00C90843" w:rsidRPr="001F4FF6" w:rsidTr="00B211B4">
        <w:trPr>
          <w:jc w:val="center"/>
        </w:trPr>
        <w:tc>
          <w:tcPr>
            <w:tcW w:w="0" w:type="auto"/>
          </w:tcPr>
          <w:p w:rsidR="00C90843" w:rsidRPr="001F4FF6" w:rsidRDefault="00C90843" w:rsidP="00B211B4">
            <w:pPr>
              <w:keepLines/>
              <w:spacing w:before="120" w:after="120"/>
              <w:jc w:val="both"/>
              <w:rPr>
                <w:rFonts w:ascii="Lato" w:hAnsi="Lato"/>
                <w:color w:val="595959" w:themeColor="text1" w:themeTint="A6"/>
                <w:lang w:val="es-ES"/>
              </w:rPr>
            </w:pPr>
            <w:r w:rsidRPr="001F4FF6">
              <w:rPr>
                <w:rFonts w:ascii="Lato" w:hAnsi="Lato"/>
                <w:color w:val="595959" w:themeColor="text1" w:themeTint="A6"/>
                <w:lang w:val="es-ES"/>
              </w:rPr>
              <w:t>45</w:t>
            </w:r>
          </w:p>
        </w:tc>
        <w:tc>
          <w:tcPr>
            <w:tcW w:w="0" w:type="auto"/>
          </w:tcPr>
          <w:p w:rsidR="00C90843" w:rsidRPr="001F4FF6" w:rsidRDefault="00C90843" w:rsidP="00B211B4">
            <w:pPr>
              <w:keepLines/>
              <w:spacing w:before="120" w:after="120"/>
              <w:rPr>
                <w:rFonts w:ascii="Lato" w:hAnsi="Lato"/>
                <w:color w:val="595959" w:themeColor="text1" w:themeTint="A6"/>
                <w:lang w:val="es-ES"/>
              </w:rPr>
            </w:pPr>
            <w:r w:rsidRPr="001F4FF6">
              <w:rPr>
                <w:rFonts w:ascii="Lato" w:hAnsi="Lato"/>
                <w:color w:val="595959" w:themeColor="text1" w:themeTint="A6"/>
                <w:lang w:val="es-ES"/>
              </w:rPr>
              <w:t>PN Pico de Orizaba</w:t>
            </w:r>
          </w:p>
        </w:tc>
        <w:tc>
          <w:tcPr>
            <w:tcW w:w="0" w:type="auto"/>
            <w:shd w:val="clear" w:color="auto" w:fill="FF0000"/>
          </w:tcPr>
          <w:p w:rsidR="00C90843" w:rsidRPr="001F4FF6" w:rsidRDefault="00C90843" w:rsidP="00B211B4">
            <w:pPr>
              <w:keepLines/>
              <w:spacing w:before="120" w:after="120"/>
              <w:rPr>
                <w:rFonts w:ascii="Lato" w:hAnsi="Lato"/>
                <w:color w:val="FFFFFF" w:themeColor="background1"/>
                <w:lang w:val="es-ES"/>
              </w:rPr>
            </w:pPr>
            <w:r w:rsidRPr="001F4FF6">
              <w:rPr>
                <w:rFonts w:ascii="Lato" w:hAnsi="Lato"/>
                <w:color w:val="FFFFFF" w:themeColor="background1"/>
                <w:lang w:val="es-ES"/>
              </w:rPr>
              <w:t>C6</w:t>
            </w:r>
          </w:p>
        </w:tc>
      </w:tr>
      <w:tr w:rsidR="00C90843" w:rsidRPr="001F4FF6" w:rsidTr="00B211B4">
        <w:trPr>
          <w:jc w:val="center"/>
        </w:trPr>
        <w:tc>
          <w:tcPr>
            <w:tcW w:w="0" w:type="auto"/>
          </w:tcPr>
          <w:p w:rsidR="00C90843" w:rsidRPr="001F4FF6" w:rsidRDefault="00C90843" w:rsidP="00B211B4">
            <w:pPr>
              <w:keepLines/>
              <w:spacing w:before="120" w:after="120"/>
              <w:jc w:val="both"/>
              <w:rPr>
                <w:rFonts w:ascii="Lato" w:hAnsi="Lato"/>
                <w:color w:val="595959" w:themeColor="text1" w:themeTint="A6"/>
                <w:lang w:val="es-ES"/>
              </w:rPr>
            </w:pPr>
            <w:r w:rsidRPr="001F4FF6">
              <w:rPr>
                <w:rFonts w:ascii="Lato" w:hAnsi="Lato"/>
                <w:color w:val="595959" w:themeColor="text1" w:themeTint="A6"/>
                <w:lang w:val="es-ES"/>
              </w:rPr>
              <w:t>46</w:t>
            </w:r>
          </w:p>
        </w:tc>
        <w:tc>
          <w:tcPr>
            <w:tcW w:w="0" w:type="auto"/>
          </w:tcPr>
          <w:p w:rsidR="00C90843" w:rsidRPr="001F4FF6" w:rsidRDefault="00C90843" w:rsidP="00B211B4">
            <w:pPr>
              <w:keepLines/>
              <w:spacing w:before="120" w:after="120"/>
              <w:rPr>
                <w:rFonts w:ascii="Lato" w:hAnsi="Lato"/>
                <w:color w:val="595959" w:themeColor="text1" w:themeTint="A6"/>
                <w:lang w:val="es-ES"/>
              </w:rPr>
            </w:pPr>
            <w:r w:rsidRPr="001F4FF6">
              <w:rPr>
                <w:rFonts w:ascii="Lato" w:hAnsi="Lato"/>
                <w:color w:val="595959" w:themeColor="text1" w:themeTint="A6"/>
                <w:lang w:val="es-ES"/>
              </w:rPr>
              <w:t>RB Pantanos de Centla</w:t>
            </w:r>
          </w:p>
        </w:tc>
        <w:tc>
          <w:tcPr>
            <w:tcW w:w="0" w:type="auto"/>
            <w:shd w:val="clear" w:color="auto" w:fill="FF0000"/>
          </w:tcPr>
          <w:p w:rsidR="00C90843" w:rsidRPr="001F4FF6" w:rsidRDefault="00C90843" w:rsidP="00B211B4">
            <w:pPr>
              <w:keepLines/>
              <w:spacing w:before="120" w:after="120"/>
              <w:rPr>
                <w:rFonts w:ascii="Lato" w:hAnsi="Lato"/>
                <w:color w:val="FFFFFF" w:themeColor="background1"/>
                <w:lang w:val="es-ES"/>
              </w:rPr>
            </w:pPr>
            <w:r w:rsidRPr="001F4FF6">
              <w:rPr>
                <w:rFonts w:ascii="Lato" w:hAnsi="Lato"/>
                <w:color w:val="FFFFFF" w:themeColor="background1"/>
                <w:lang w:val="es-ES"/>
              </w:rPr>
              <w:t>C6</w:t>
            </w:r>
          </w:p>
        </w:tc>
      </w:tr>
      <w:tr w:rsidR="00C90843" w:rsidRPr="001F4FF6" w:rsidTr="00B211B4">
        <w:trPr>
          <w:jc w:val="center"/>
        </w:trPr>
        <w:tc>
          <w:tcPr>
            <w:tcW w:w="0" w:type="auto"/>
          </w:tcPr>
          <w:p w:rsidR="00C90843" w:rsidRPr="001F4FF6" w:rsidRDefault="00C90843" w:rsidP="00B211B4">
            <w:pPr>
              <w:keepLines/>
              <w:spacing w:before="120" w:after="120"/>
              <w:jc w:val="both"/>
              <w:rPr>
                <w:rFonts w:ascii="Lato" w:hAnsi="Lato"/>
                <w:color w:val="595959" w:themeColor="text1" w:themeTint="A6"/>
                <w:lang w:val="es-ES"/>
              </w:rPr>
            </w:pPr>
            <w:r w:rsidRPr="001F4FF6">
              <w:rPr>
                <w:rFonts w:ascii="Lato" w:hAnsi="Lato"/>
                <w:color w:val="595959" w:themeColor="text1" w:themeTint="A6"/>
                <w:lang w:val="es-ES"/>
              </w:rPr>
              <w:t>47</w:t>
            </w:r>
          </w:p>
        </w:tc>
        <w:tc>
          <w:tcPr>
            <w:tcW w:w="0" w:type="auto"/>
          </w:tcPr>
          <w:p w:rsidR="00C90843" w:rsidRPr="001F4FF6" w:rsidRDefault="00C90843" w:rsidP="00B211B4">
            <w:pPr>
              <w:keepLines/>
              <w:spacing w:before="120" w:after="120"/>
              <w:rPr>
                <w:rFonts w:ascii="Lato" w:hAnsi="Lato"/>
                <w:color w:val="595959" w:themeColor="text1" w:themeTint="A6"/>
                <w:lang w:val="es-ES"/>
              </w:rPr>
            </w:pPr>
            <w:r w:rsidRPr="001F4FF6">
              <w:rPr>
                <w:rFonts w:ascii="Lato" w:hAnsi="Lato"/>
                <w:color w:val="595959" w:themeColor="text1" w:themeTint="A6"/>
                <w:lang w:val="es-ES"/>
              </w:rPr>
              <w:t>APFF Cañón del Usumacinta</w:t>
            </w:r>
          </w:p>
        </w:tc>
        <w:tc>
          <w:tcPr>
            <w:tcW w:w="0" w:type="auto"/>
            <w:shd w:val="clear" w:color="auto" w:fill="FF0000"/>
          </w:tcPr>
          <w:p w:rsidR="00C90843" w:rsidRPr="001F4FF6" w:rsidRDefault="00C90843" w:rsidP="00B211B4">
            <w:pPr>
              <w:keepLines/>
              <w:spacing w:before="120" w:after="120"/>
              <w:rPr>
                <w:rFonts w:ascii="Lato" w:hAnsi="Lato"/>
                <w:color w:val="FFFFFF" w:themeColor="background1"/>
                <w:lang w:val="es-ES"/>
              </w:rPr>
            </w:pPr>
            <w:r w:rsidRPr="001F4FF6">
              <w:rPr>
                <w:rFonts w:ascii="Lato" w:hAnsi="Lato"/>
                <w:color w:val="FFFFFF" w:themeColor="background1"/>
                <w:lang w:val="es-ES"/>
              </w:rPr>
              <w:t>C6</w:t>
            </w:r>
          </w:p>
        </w:tc>
      </w:tr>
      <w:tr w:rsidR="00C90843" w:rsidRPr="001F4FF6" w:rsidTr="00B211B4">
        <w:trPr>
          <w:jc w:val="center"/>
        </w:trPr>
        <w:tc>
          <w:tcPr>
            <w:tcW w:w="0" w:type="auto"/>
          </w:tcPr>
          <w:p w:rsidR="00C90843" w:rsidRPr="001F4FF6" w:rsidRDefault="00C90843" w:rsidP="00B211B4">
            <w:pPr>
              <w:keepLines/>
              <w:spacing w:before="120" w:after="120"/>
              <w:jc w:val="both"/>
              <w:rPr>
                <w:rFonts w:ascii="Lato" w:hAnsi="Lato"/>
                <w:color w:val="595959" w:themeColor="text1" w:themeTint="A6"/>
                <w:lang w:val="es-ES"/>
              </w:rPr>
            </w:pPr>
            <w:r w:rsidRPr="001F4FF6">
              <w:rPr>
                <w:rFonts w:ascii="Lato" w:hAnsi="Lato"/>
                <w:color w:val="595959" w:themeColor="text1" w:themeTint="A6"/>
                <w:lang w:val="es-ES"/>
              </w:rPr>
              <w:t>48</w:t>
            </w:r>
          </w:p>
        </w:tc>
        <w:tc>
          <w:tcPr>
            <w:tcW w:w="0" w:type="auto"/>
          </w:tcPr>
          <w:p w:rsidR="00C90843" w:rsidRPr="001F4FF6" w:rsidRDefault="00C90843" w:rsidP="00B211B4">
            <w:pPr>
              <w:keepLines/>
              <w:spacing w:before="120" w:after="120"/>
              <w:rPr>
                <w:rFonts w:ascii="Lato" w:hAnsi="Lato"/>
                <w:color w:val="595959" w:themeColor="text1" w:themeTint="A6"/>
                <w:lang w:val="es-ES"/>
              </w:rPr>
            </w:pPr>
            <w:r w:rsidRPr="001F4FF6">
              <w:rPr>
                <w:rFonts w:ascii="Lato" w:hAnsi="Lato"/>
                <w:color w:val="595959" w:themeColor="text1" w:themeTint="A6"/>
                <w:lang w:val="es-ES"/>
              </w:rPr>
              <w:t>PN Sistema Arrecifal Veracruzano</w:t>
            </w:r>
          </w:p>
        </w:tc>
        <w:tc>
          <w:tcPr>
            <w:tcW w:w="0" w:type="auto"/>
            <w:shd w:val="clear" w:color="auto" w:fill="FF0000"/>
          </w:tcPr>
          <w:p w:rsidR="00C90843" w:rsidRPr="001F4FF6" w:rsidRDefault="00C90843" w:rsidP="00B211B4">
            <w:pPr>
              <w:keepLines/>
              <w:spacing w:before="120" w:after="120"/>
              <w:rPr>
                <w:rFonts w:ascii="Lato" w:hAnsi="Lato"/>
                <w:color w:val="FFFFFF" w:themeColor="background1"/>
                <w:lang w:val="es-ES"/>
              </w:rPr>
            </w:pPr>
            <w:r w:rsidRPr="001F4FF6">
              <w:rPr>
                <w:rFonts w:ascii="Lato" w:hAnsi="Lato"/>
                <w:color w:val="FFFFFF" w:themeColor="background1"/>
                <w:lang w:val="es-ES"/>
              </w:rPr>
              <w:t>C6</w:t>
            </w:r>
          </w:p>
        </w:tc>
      </w:tr>
      <w:tr w:rsidR="00C90843" w:rsidRPr="001F4FF6" w:rsidTr="00B211B4">
        <w:trPr>
          <w:jc w:val="center"/>
        </w:trPr>
        <w:tc>
          <w:tcPr>
            <w:tcW w:w="0" w:type="auto"/>
          </w:tcPr>
          <w:p w:rsidR="00C90843" w:rsidRPr="001F4FF6" w:rsidRDefault="00C90843" w:rsidP="00B211B4">
            <w:pPr>
              <w:keepLines/>
              <w:spacing w:before="120" w:after="120"/>
              <w:jc w:val="both"/>
              <w:rPr>
                <w:rFonts w:ascii="Lato" w:hAnsi="Lato"/>
                <w:color w:val="595959" w:themeColor="text1" w:themeTint="A6"/>
                <w:lang w:val="es-ES"/>
              </w:rPr>
            </w:pPr>
            <w:r w:rsidRPr="001F4FF6">
              <w:rPr>
                <w:rFonts w:ascii="Lato" w:hAnsi="Lato"/>
                <w:color w:val="595959" w:themeColor="text1" w:themeTint="A6"/>
                <w:lang w:val="es-ES"/>
              </w:rPr>
              <w:t>49</w:t>
            </w:r>
          </w:p>
        </w:tc>
        <w:tc>
          <w:tcPr>
            <w:tcW w:w="0" w:type="auto"/>
          </w:tcPr>
          <w:p w:rsidR="00C90843" w:rsidRPr="001F4FF6" w:rsidRDefault="00C90843" w:rsidP="00B211B4">
            <w:pPr>
              <w:keepLines/>
              <w:spacing w:before="120" w:after="120"/>
              <w:rPr>
                <w:rFonts w:ascii="Lato" w:hAnsi="Lato"/>
                <w:color w:val="595959" w:themeColor="text1" w:themeTint="A6"/>
                <w:lang w:val="es-ES"/>
              </w:rPr>
            </w:pPr>
            <w:r w:rsidRPr="001F4FF6">
              <w:rPr>
                <w:rFonts w:ascii="Lato" w:hAnsi="Lato"/>
                <w:color w:val="595959" w:themeColor="text1" w:themeTint="A6"/>
                <w:lang w:val="es-ES"/>
              </w:rPr>
              <w:t>APFF Sistema Arrecifal Lobos – Tuxpan</w:t>
            </w:r>
          </w:p>
        </w:tc>
        <w:tc>
          <w:tcPr>
            <w:tcW w:w="0" w:type="auto"/>
            <w:shd w:val="clear" w:color="auto" w:fill="FF0000"/>
          </w:tcPr>
          <w:p w:rsidR="00C90843" w:rsidRPr="001F4FF6" w:rsidRDefault="00C90843" w:rsidP="00B211B4">
            <w:pPr>
              <w:keepLines/>
              <w:spacing w:before="120" w:after="120"/>
              <w:rPr>
                <w:rFonts w:ascii="Lato" w:hAnsi="Lato"/>
                <w:color w:val="FFFFFF" w:themeColor="background1"/>
                <w:lang w:val="es-ES"/>
              </w:rPr>
            </w:pPr>
            <w:r w:rsidRPr="001F4FF6">
              <w:rPr>
                <w:rFonts w:ascii="Lato" w:hAnsi="Lato"/>
                <w:color w:val="FFFFFF" w:themeColor="background1"/>
                <w:lang w:val="es-ES"/>
              </w:rPr>
              <w:t>C6</w:t>
            </w:r>
          </w:p>
        </w:tc>
      </w:tr>
      <w:tr w:rsidR="00C90843" w:rsidRPr="001F4FF6" w:rsidTr="00B211B4">
        <w:trPr>
          <w:jc w:val="center"/>
        </w:trPr>
        <w:tc>
          <w:tcPr>
            <w:tcW w:w="0" w:type="auto"/>
          </w:tcPr>
          <w:p w:rsidR="00C90843" w:rsidRPr="001F4FF6" w:rsidRDefault="00C90843" w:rsidP="00B211B4">
            <w:pPr>
              <w:keepLines/>
              <w:spacing w:before="120" w:after="120"/>
              <w:jc w:val="both"/>
              <w:rPr>
                <w:rFonts w:ascii="Lato" w:hAnsi="Lato"/>
                <w:color w:val="595959" w:themeColor="text1" w:themeTint="A6"/>
                <w:lang w:val="es-ES"/>
              </w:rPr>
            </w:pPr>
            <w:r w:rsidRPr="001F4FF6">
              <w:rPr>
                <w:rFonts w:ascii="Lato" w:hAnsi="Lato"/>
                <w:color w:val="595959" w:themeColor="text1" w:themeTint="A6"/>
                <w:lang w:val="es-ES"/>
              </w:rPr>
              <w:t>50</w:t>
            </w:r>
          </w:p>
        </w:tc>
        <w:tc>
          <w:tcPr>
            <w:tcW w:w="0" w:type="auto"/>
          </w:tcPr>
          <w:p w:rsidR="00C90843" w:rsidRPr="001F4FF6" w:rsidRDefault="00C90843" w:rsidP="00B211B4">
            <w:pPr>
              <w:keepLines/>
              <w:spacing w:before="120" w:after="120"/>
              <w:rPr>
                <w:rFonts w:ascii="Lato" w:hAnsi="Lato"/>
                <w:color w:val="595959" w:themeColor="text1" w:themeTint="A6"/>
                <w:lang w:val="es-ES"/>
              </w:rPr>
            </w:pPr>
            <w:r w:rsidRPr="001F4FF6">
              <w:rPr>
                <w:rFonts w:ascii="Lato" w:hAnsi="Lato"/>
                <w:color w:val="595959" w:themeColor="text1" w:themeTint="A6"/>
                <w:lang w:val="es-ES"/>
              </w:rPr>
              <w:t>RB Los Tuxtlas</w:t>
            </w:r>
          </w:p>
        </w:tc>
        <w:tc>
          <w:tcPr>
            <w:tcW w:w="0" w:type="auto"/>
            <w:shd w:val="clear" w:color="auto" w:fill="FF0000"/>
          </w:tcPr>
          <w:p w:rsidR="00C90843" w:rsidRPr="001F4FF6" w:rsidRDefault="00C90843" w:rsidP="00B211B4">
            <w:pPr>
              <w:keepLines/>
              <w:spacing w:before="120" w:after="120"/>
              <w:rPr>
                <w:rFonts w:ascii="Lato" w:hAnsi="Lato"/>
                <w:color w:val="FFFFFF" w:themeColor="background1"/>
                <w:lang w:val="es-ES"/>
              </w:rPr>
            </w:pPr>
            <w:r w:rsidRPr="001F4FF6">
              <w:rPr>
                <w:rFonts w:ascii="Lato" w:hAnsi="Lato"/>
                <w:color w:val="FFFFFF" w:themeColor="background1"/>
                <w:lang w:val="es-ES"/>
              </w:rPr>
              <w:t>C6</w:t>
            </w:r>
          </w:p>
        </w:tc>
      </w:tr>
      <w:tr w:rsidR="00C90843" w:rsidRPr="001F4FF6" w:rsidTr="00B211B4">
        <w:trPr>
          <w:jc w:val="center"/>
        </w:trPr>
        <w:tc>
          <w:tcPr>
            <w:tcW w:w="0" w:type="auto"/>
          </w:tcPr>
          <w:p w:rsidR="00C90843" w:rsidRPr="001F4FF6" w:rsidRDefault="00C90843" w:rsidP="00B211B4">
            <w:pPr>
              <w:keepLines/>
              <w:spacing w:before="120" w:after="120"/>
              <w:jc w:val="both"/>
              <w:rPr>
                <w:rFonts w:ascii="Lato" w:hAnsi="Lato"/>
                <w:color w:val="595959" w:themeColor="text1" w:themeTint="A6"/>
                <w:lang w:val="es-ES"/>
              </w:rPr>
            </w:pPr>
            <w:r w:rsidRPr="001F4FF6">
              <w:rPr>
                <w:rFonts w:ascii="Lato" w:hAnsi="Lato"/>
                <w:color w:val="595959" w:themeColor="text1" w:themeTint="A6"/>
                <w:lang w:val="es-ES"/>
              </w:rPr>
              <w:lastRenderedPageBreak/>
              <w:t>51</w:t>
            </w:r>
          </w:p>
        </w:tc>
        <w:tc>
          <w:tcPr>
            <w:tcW w:w="0" w:type="auto"/>
          </w:tcPr>
          <w:p w:rsidR="00C90843" w:rsidRPr="001F4FF6" w:rsidRDefault="00C90843" w:rsidP="00B211B4">
            <w:pPr>
              <w:keepLines/>
              <w:spacing w:before="120" w:after="120"/>
              <w:rPr>
                <w:rFonts w:ascii="Lato" w:hAnsi="Lato"/>
                <w:color w:val="595959" w:themeColor="text1" w:themeTint="A6"/>
                <w:lang w:val="es-ES"/>
              </w:rPr>
            </w:pPr>
            <w:r w:rsidRPr="001F4FF6">
              <w:rPr>
                <w:rFonts w:ascii="Lato" w:hAnsi="Lato"/>
                <w:color w:val="595959" w:themeColor="text1" w:themeTint="A6"/>
                <w:lang w:val="es-ES"/>
              </w:rPr>
              <w:t>PN Cabo Pulmo</w:t>
            </w:r>
          </w:p>
        </w:tc>
        <w:tc>
          <w:tcPr>
            <w:tcW w:w="0" w:type="auto"/>
            <w:shd w:val="clear" w:color="auto" w:fill="92D051"/>
          </w:tcPr>
          <w:p w:rsidR="00C90843" w:rsidRPr="001F4FF6" w:rsidRDefault="00C90843" w:rsidP="00B211B4">
            <w:pPr>
              <w:keepLines/>
              <w:spacing w:before="120" w:after="120"/>
              <w:rPr>
                <w:rFonts w:ascii="Lato" w:hAnsi="Lato"/>
                <w:color w:val="FFFFFF" w:themeColor="background1"/>
                <w:lang w:val="es-ES"/>
              </w:rPr>
            </w:pPr>
            <w:r w:rsidRPr="001F4FF6">
              <w:rPr>
                <w:rFonts w:ascii="Lato" w:hAnsi="Lato"/>
                <w:color w:val="FFFFFF" w:themeColor="background1"/>
                <w:lang w:val="es-ES"/>
              </w:rPr>
              <w:t>FANP donantes específicos</w:t>
            </w:r>
          </w:p>
        </w:tc>
      </w:tr>
      <w:tr w:rsidR="00C90843" w:rsidRPr="001F4FF6" w:rsidTr="00B211B4">
        <w:trPr>
          <w:jc w:val="center"/>
        </w:trPr>
        <w:tc>
          <w:tcPr>
            <w:tcW w:w="0" w:type="auto"/>
          </w:tcPr>
          <w:p w:rsidR="00C90843" w:rsidRPr="001F4FF6" w:rsidRDefault="00C90843" w:rsidP="00B211B4">
            <w:pPr>
              <w:keepLines/>
              <w:spacing w:before="120" w:after="120"/>
              <w:jc w:val="both"/>
              <w:rPr>
                <w:rFonts w:ascii="Lato" w:hAnsi="Lato"/>
                <w:color w:val="595959" w:themeColor="text1" w:themeTint="A6"/>
                <w:lang w:val="es-ES"/>
              </w:rPr>
            </w:pPr>
            <w:r w:rsidRPr="001F4FF6">
              <w:rPr>
                <w:rFonts w:ascii="Lato" w:hAnsi="Lato"/>
                <w:color w:val="595959" w:themeColor="text1" w:themeTint="A6"/>
                <w:lang w:val="es-ES"/>
              </w:rPr>
              <w:t>52</w:t>
            </w:r>
          </w:p>
        </w:tc>
        <w:tc>
          <w:tcPr>
            <w:tcW w:w="0" w:type="auto"/>
          </w:tcPr>
          <w:p w:rsidR="00C90843" w:rsidRPr="001F4FF6" w:rsidRDefault="00C90843" w:rsidP="00B211B4">
            <w:pPr>
              <w:keepLines/>
              <w:spacing w:before="120" w:after="120"/>
              <w:rPr>
                <w:rFonts w:ascii="Lato" w:hAnsi="Lato"/>
                <w:color w:val="595959" w:themeColor="text1" w:themeTint="A6"/>
                <w:lang w:val="es-ES"/>
              </w:rPr>
            </w:pPr>
            <w:r w:rsidRPr="001F4FF6">
              <w:rPr>
                <w:rFonts w:ascii="Lato" w:hAnsi="Lato"/>
                <w:color w:val="595959" w:themeColor="text1" w:themeTint="A6"/>
                <w:lang w:val="es-ES"/>
              </w:rPr>
              <w:t>RB Janos</w:t>
            </w:r>
          </w:p>
        </w:tc>
        <w:tc>
          <w:tcPr>
            <w:tcW w:w="0" w:type="auto"/>
            <w:shd w:val="clear" w:color="auto" w:fill="516EE9"/>
          </w:tcPr>
          <w:p w:rsidR="00C90843" w:rsidRPr="001F4FF6" w:rsidRDefault="00C90843" w:rsidP="00B211B4">
            <w:pPr>
              <w:keepLines/>
              <w:spacing w:before="120" w:after="120"/>
              <w:rPr>
                <w:rFonts w:ascii="Lato" w:hAnsi="Lato"/>
                <w:color w:val="FFFFFF" w:themeColor="background1"/>
                <w:lang w:val="es-ES"/>
              </w:rPr>
            </w:pPr>
            <w:r w:rsidRPr="001F4FF6">
              <w:rPr>
                <w:rFonts w:ascii="Lato" w:hAnsi="Lato"/>
                <w:color w:val="FFFFFF" w:themeColor="background1"/>
                <w:lang w:val="es-ES"/>
              </w:rPr>
              <w:t>FANP (FMAM)</w:t>
            </w:r>
          </w:p>
        </w:tc>
      </w:tr>
      <w:tr w:rsidR="00C90843" w:rsidRPr="001F4FF6" w:rsidTr="00B211B4">
        <w:trPr>
          <w:jc w:val="center"/>
        </w:trPr>
        <w:tc>
          <w:tcPr>
            <w:tcW w:w="0" w:type="auto"/>
          </w:tcPr>
          <w:p w:rsidR="00C90843" w:rsidRPr="001F4FF6" w:rsidRDefault="00C90843" w:rsidP="00B211B4">
            <w:pPr>
              <w:keepLines/>
              <w:spacing w:before="120" w:after="120"/>
              <w:jc w:val="both"/>
              <w:rPr>
                <w:rFonts w:ascii="Lato" w:hAnsi="Lato"/>
                <w:color w:val="595959" w:themeColor="text1" w:themeTint="A6"/>
                <w:lang w:val="es-ES"/>
              </w:rPr>
            </w:pPr>
            <w:r w:rsidRPr="001F4FF6">
              <w:rPr>
                <w:rFonts w:ascii="Lato" w:hAnsi="Lato"/>
                <w:color w:val="595959" w:themeColor="text1" w:themeTint="A6"/>
                <w:lang w:val="es-ES"/>
              </w:rPr>
              <w:t>53</w:t>
            </w:r>
          </w:p>
        </w:tc>
        <w:tc>
          <w:tcPr>
            <w:tcW w:w="0" w:type="auto"/>
          </w:tcPr>
          <w:p w:rsidR="00C90843" w:rsidRPr="001F4FF6" w:rsidRDefault="00C90843" w:rsidP="00B211B4">
            <w:pPr>
              <w:keepLines/>
              <w:spacing w:before="120" w:after="120"/>
              <w:rPr>
                <w:rFonts w:ascii="Lato" w:hAnsi="Lato"/>
                <w:color w:val="595959" w:themeColor="text1" w:themeTint="A6"/>
                <w:lang w:val="es-ES"/>
              </w:rPr>
            </w:pPr>
            <w:r w:rsidRPr="001F4FF6">
              <w:rPr>
                <w:rFonts w:ascii="Lato" w:hAnsi="Lato"/>
                <w:color w:val="595959" w:themeColor="text1" w:themeTint="A6"/>
                <w:lang w:val="es-ES"/>
              </w:rPr>
              <w:t>PN Huatulco</w:t>
            </w:r>
          </w:p>
        </w:tc>
        <w:tc>
          <w:tcPr>
            <w:tcW w:w="0" w:type="auto"/>
            <w:shd w:val="clear" w:color="auto" w:fill="516EE9"/>
          </w:tcPr>
          <w:p w:rsidR="00C90843" w:rsidRPr="001F4FF6" w:rsidRDefault="00C90843" w:rsidP="00B211B4">
            <w:pPr>
              <w:keepLines/>
              <w:spacing w:before="120" w:after="120"/>
              <w:rPr>
                <w:rFonts w:ascii="Lato" w:hAnsi="Lato"/>
                <w:color w:val="FFFFFF" w:themeColor="background1"/>
                <w:lang w:val="es-ES"/>
              </w:rPr>
            </w:pPr>
            <w:r w:rsidRPr="001F4FF6">
              <w:rPr>
                <w:rFonts w:ascii="Lato" w:hAnsi="Lato"/>
                <w:color w:val="FFFFFF" w:themeColor="background1"/>
                <w:lang w:val="es-ES"/>
              </w:rPr>
              <w:t>FANP (FMAM )</w:t>
            </w:r>
          </w:p>
        </w:tc>
      </w:tr>
      <w:tr w:rsidR="00C90843" w:rsidRPr="001F4FF6" w:rsidTr="00B211B4">
        <w:trPr>
          <w:jc w:val="center"/>
        </w:trPr>
        <w:tc>
          <w:tcPr>
            <w:tcW w:w="0" w:type="auto"/>
          </w:tcPr>
          <w:p w:rsidR="00C90843" w:rsidRPr="001F4FF6" w:rsidRDefault="00C90843" w:rsidP="00B211B4">
            <w:pPr>
              <w:keepLines/>
              <w:spacing w:before="120" w:after="120"/>
              <w:jc w:val="both"/>
              <w:rPr>
                <w:rFonts w:ascii="Lato" w:hAnsi="Lato"/>
                <w:color w:val="595959" w:themeColor="text1" w:themeTint="A6"/>
                <w:lang w:val="es-ES"/>
              </w:rPr>
            </w:pPr>
            <w:r>
              <w:rPr>
                <w:rFonts w:ascii="Lato" w:hAnsi="Lato"/>
                <w:color w:val="595959" w:themeColor="text1" w:themeTint="A6"/>
                <w:lang w:val="es-ES"/>
              </w:rPr>
              <w:t>54</w:t>
            </w:r>
          </w:p>
        </w:tc>
        <w:tc>
          <w:tcPr>
            <w:tcW w:w="0" w:type="auto"/>
          </w:tcPr>
          <w:p w:rsidR="00C90843" w:rsidRPr="001F4FF6" w:rsidRDefault="00C90843" w:rsidP="00B211B4">
            <w:pPr>
              <w:keepLines/>
              <w:spacing w:before="120" w:after="120"/>
              <w:rPr>
                <w:rFonts w:ascii="Lato" w:hAnsi="Lato"/>
                <w:color w:val="595959" w:themeColor="text1" w:themeTint="A6"/>
                <w:lang w:val="es-ES"/>
              </w:rPr>
            </w:pPr>
            <w:r>
              <w:rPr>
                <w:rFonts w:ascii="Lato" w:hAnsi="Lato"/>
                <w:color w:val="595959" w:themeColor="text1" w:themeTint="A6"/>
                <w:lang w:val="es-ES"/>
              </w:rPr>
              <w:t>RB Caribe Mexicano</w:t>
            </w:r>
          </w:p>
        </w:tc>
        <w:tc>
          <w:tcPr>
            <w:tcW w:w="0" w:type="auto"/>
            <w:shd w:val="clear" w:color="auto" w:fill="47DFF3"/>
          </w:tcPr>
          <w:p w:rsidR="00C90843" w:rsidRPr="001F4FF6" w:rsidRDefault="00C90843" w:rsidP="00B211B4">
            <w:pPr>
              <w:keepLines/>
              <w:spacing w:before="120" w:after="120"/>
              <w:rPr>
                <w:rFonts w:ascii="Lato" w:hAnsi="Lato"/>
                <w:color w:val="FFFFFF" w:themeColor="background1"/>
                <w:lang w:val="es-ES"/>
              </w:rPr>
            </w:pPr>
            <w:r>
              <w:rPr>
                <w:rFonts w:ascii="Lato" w:hAnsi="Lato"/>
                <w:color w:val="FFFFFF" w:themeColor="background1"/>
                <w:lang w:val="es-ES"/>
              </w:rPr>
              <w:t>FINANP</w:t>
            </w:r>
          </w:p>
        </w:tc>
      </w:tr>
      <w:tr w:rsidR="00C90843" w:rsidRPr="001F4FF6" w:rsidTr="00B211B4">
        <w:trPr>
          <w:jc w:val="center"/>
        </w:trPr>
        <w:tc>
          <w:tcPr>
            <w:tcW w:w="0" w:type="auto"/>
          </w:tcPr>
          <w:p w:rsidR="00C90843" w:rsidRDefault="00C90843" w:rsidP="00B211B4">
            <w:pPr>
              <w:keepLines/>
              <w:spacing w:before="120" w:after="120"/>
              <w:jc w:val="both"/>
              <w:rPr>
                <w:rFonts w:ascii="Lato" w:hAnsi="Lato"/>
                <w:color w:val="595959" w:themeColor="text1" w:themeTint="A6"/>
                <w:lang w:val="es-ES"/>
              </w:rPr>
            </w:pPr>
            <w:r>
              <w:rPr>
                <w:rFonts w:ascii="Lato" w:hAnsi="Lato"/>
                <w:color w:val="595959" w:themeColor="text1" w:themeTint="A6"/>
                <w:lang w:val="es-ES"/>
              </w:rPr>
              <w:t>55</w:t>
            </w:r>
          </w:p>
        </w:tc>
        <w:tc>
          <w:tcPr>
            <w:tcW w:w="0" w:type="auto"/>
          </w:tcPr>
          <w:p w:rsidR="00C90843" w:rsidRDefault="00C90843" w:rsidP="00B211B4">
            <w:pPr>
              <w:keepLines/>
              <w:spacing w:before="120" w:after="120"/>
              <w:rPr>
                <w:rFonts w:ascii="Lato" w:hAnsi="Lato"/>
                <w:color w:val="595959" w:themeColor="text1" w:themeTint="A6"/>
                <w:lang w:val="es-ES"/>
              </w:rPr>
            </w:pPr>
            <w:r>
              <w:rPr>
                <w:rFonts w:ascii="Lato" w:hAnsi="Lato"/>
                <w:color w:val="595959" w:themeColor="text1" w:themeTint="A6"/>
                <w:lang w:val="es-ES"/>
              </w:rPr>
              <w:t>RB Islas del Pacífico de la Península de Baja California</w:t>
            </w:r>
          </w:p>
        </w:tc>
        <w:tc>
          <w:tcPr>
            <w:tcW w:w="0" w:type="auto"/>
            <w:shd w:val="clear" w:color="auto" w:fill="47DFF3"/>
          </w:tcPr>
          <w:p w:rsidR="00C90843" w:rsidRDefault="00C90843" w:rsidP="00B211B4">
            <w:pPr>
              <w:keepLines/>
              <w:spacing w:before="120" w:after="120"/>
              <w:rPr>
                <w:rFonts w:ascii="Lato" w:hAnsi="Lato"/>
                <w:color w:val="FFFFFF" w:themeColor="background1"/>
                <w:lang w:val="es-ES"/>
              </w:rPr>
            </w:pPr>
            <w:r>
              <w:rPr>
                <w:rFonts w:ascii="Lato" w:hAnsi="Lato"/>
                <w:color w:val="FFFFFF" w:themeColor="background1"/>
                <w:lang w:val="es-ES"/>
              </w:rPr>
              <w:t>FINANP</w:t>
            </w:r>
          </w:p>
        </w:tc>
      </w:tr>
      <w:tr w:rsidR="00C90843" w:rsidRPr="001F4FF6" w:rsidTr="00B211B4">
        <w:trPr>
          <w:jc w:val="center"/>
        </w:trPr>
        <w:tc>
          <w:tcPr>
            <w:tcW w:w="0" w:type="auto"/>
          </w:tcPr>
          <w:p w:rsidR="00C90843" w:rsidRDefault="00C90843" w:rsidP="00B211B4">
            <w:pPr>
              <w:keepLines/>
              <w:spacing w:before="120" w:after="120"/>
              <w:jc w:val="both"/>
              <w:rPr>
                <w:rFonts w:ascii="Lato" w:hAnsi="Lato"/>
                <w:color w:val="595959" w:themeColor="text1" w:themeTint="A6"/>
                <w:lang w:val="es-ES"/>
              </w:rPr>
            </w:pPr>
            <w:r>
              <w:rPr>
                <w:rFonts w:ascii="Lato" w:hAnsi="Lato"/>
                <w:color w:val="595959" w:themeColor="text1" w:themeTint="A6"/>
                <w:lang w:val="es-ES"/>
              </w:rPr>
              <w:t>56</w:t>
            </w:r>
          </w:p>
        </w:tc>
        <w:tc>
          <w:tcPr>
            <w:tcW w:w="0" w:type="auto"/>
            <w:vAlign w:val="bottom"/>
          </w:tcPr>
          <w:p w:rsidR="00C90843" w:rsidRDefault="00C90843" w:rsidP="00B211B4">
            <w:pPr>
              <w:keepLines/>
              <w:tabs>
                <w:tab w:val="left" w:pos="4470"/>
              </w:tabs>
              <w:spacing w:before="120" w:after="120"/>
              <w:rPr>
                <w:rFonts w:ascii="Lato" w:hAnsi="Lato"/>
                <w:color w:val="595959" w:themeColor="text1" w:themeTint="A6"/>
                <w:lang w:val="es-ES"/>
              </w:rPr>
            </w:pPr>
            <w:r>
              <w:rPr>
                <w:rFonts w:ascii="Calibri" w:hAnsi="Calibri" w:cs="Calibri"/>
                <w:color w:val="000000"/>
              </w:rPr>
              <w:t>APFF Ciénegas del Lerma</w:t>
            </w:r>
          </w:p>
        </w:tc>
        <w:tc>
          <w:tcPr>
            <w:tcW w:w="0" w:type="auto"/>
            <w:shd w:val="clear" w:color="auto" w:fill="CC00CC"/>
          </w:tcPr>
          <w:p w:rsidR="00C90843" w:rsidRDefault="00C90843" w:rsidP="00B211B4">
            <w:pPr>
              <w:keepLines/>
              <w:spacing w:before="120" w:after="120"/>
              <w:rPr>
                <w:rFonts w:ascii="Lato" w:hAnsi="Lato"/>
                <w:color w:val="FFFFFF" w:themeColor="background1"/>
                <w:lang w:val="es-ES"/>
              </w:rPr>
            </w:pPr>
            <w:r>
              <w:rPr>
                <w:rFonts w:ascii="Lato" w:hAnsi="Lato"/>
                <w:color w:val="FFFFFF" w:themeColor="background1"/>
                <w:lang w:val="es-ES"/>
              </w:rPr>
              <w:t>CoSMoS*</w:t>
            </w:r>
          </w:p>
        </w:tc>
      </w:tr>
      <w:tr w:rsidR="00C90843" w:rsidRPr="001F4FF6" w:rsidTr="00B211B4">
        <w:trPr>
          <w:jc w:val="center"/>
        </w:trPr>
        <w:tc>
          <w:tcPr>
            <w:tcW w:w="0" w:type="auto"/>
          </w:tcPr>
          <w:p w:rsidR="00C90843" w:rsidRDefault="00C90843" w:rsidP="00B211B4">
            <w:pPr>
              <w:keepLines/>
              <w:spacing w:before="120" w:after="120"/>
              <w:jc w:val="both"/>
              <w:rPr>
                <w:rFonts w:ascii="Lato" w:hAnsi="Lato"/>
                <w:color w:val="595959" w:themeColor="text1" w:themeTint="A6"/>
                <w:lang w:val="es-ES"/>
              </w:rPr>
            </w:pPr>
            <w:r>
              <w:rPr>
                <w:rFonts w:ascii="Lato" w:hAnsi="Lato"/>
                <w:color w:val="595959" w:themeColor="text1" w:themeTint="A6"/>
                <w:lang w:val="es-ES"/>
              </w:rPr>
              <w:t>57</w:t>
            </w:r>
          </w:p>
        </w:tc>
        <w:tc>
          <w:tcPr>
            <w:tcW w:w="0" w:type="auto"/>
            <w:vAlign w:val="bottom"/>
          </w:tcPr>
          <w:p w:rsidR="00C90843" w:rsidRDefault="00C90843" w:rsidP="00B211B4">
            <w:pPr>
              <w:keepLines/>
              <w:tabs>
                <w:tab w:val="left" w:pos="4470"/>
              </w:tabs>
              <w:spacing w:before="120" w:after="120"/>
              <w:rPr>
                <w:rFonts w:ascii="Lato" w:hAnsi="Lato"/>
                <w:color w:val="595959" w:themeColor="text1" w:themeTint="A6"/>
                <w:lang w:val="es-ES"/>
              </w:rPr>
            </w:pPr>
            <w:r>
              <w:rPr>
                <w:rFonts w:ascii="Calibri" w:hAnsi="Calibri" w:cs="Calibri"/>
                <w:color w:val="000000"/>
              </w:rPr>
              <w:t>PN Cumbres del Ajusco</w:t>
            </w:r>
          </w:p>
        </w:tc>
        <w:tc>
          <w:tcPr>
            <w:tcW w:w="0" w:type="auto"/>
            <w:shd w:val="clear" w:color="auto" w:fill="CC00CC"/>
          </w:tcPr>
          <w:p w:rsidR="00C90843" w:rsidRDefault="00C90843" w:rsidP="00B211B4">
            <w:pPr>
              <w:keepLines/>
              <w:spacing w:before="120" w:after="120"/>
              <w:rPr>
                <w:rFonts w:ascii="Lato" w:hAnsi="Lato"/>
                <w:color w:val="FFFFFF" w:themeColor="background1"/>
                <w:lang w:val="es-ES"/>
              </w:rPr>
            </w:pPr>
            <w:r>
              <w:rPr>
                <w:rFonts w:ascii="Lato" w:hAnsi="Lato"/>
                <w:color w:val="FFFFFF" w:themeColor="background1"/>
                <w:lang w:val="es-ES"/>
              </w:rPr>
              <w:t>CoSMoS*</w:t>
            </w:r>
          </w:p>
        </w:tc>
      </w:tr>
      <w:tr w:rsidR="00C90843" w:rsidRPr="001F4FF6" w:rsidTr="00B211B4">
        <w:trPr>
          <w:jc w:val="center"/>
        </w:trPr>
        <w:tc>
          <w:tcPr>
            <w:tcW w:w="0" w:type="auto"/>
          </w:tcPr>
          <w:p w:rsidR="00C90843" w:rsidRDefault="00C90843" w:rsidP="00B211B4">
            <w:pPr>
              <w:keepLines/>
              <w:spacing w:before="120" w:after="120"/>
              <w:jc w:val="both"/>
              <w:rPr>
                <w:rFonts w:ascii="Lato" w:hAnsi="Lato"/>
                <w:color w:val="595959" w:themeColor="text1" w:themeTint="A6"/>
                <w:lang w:val="es-ES"/>
              </w:rPr>
            </w:pPr>
            <w:r>
              <w:rPr>
                <w:rFonts w:ascii="Lato" w:hAnsi="Lato"/>
                <w:color w:val="595959" w:themeColor="text1" w:themeTint="A6"/>
                <w:lang w:val="es-ES"/>
              </w:rPr>
              <w:t>58</w:t>
            </w:r>
          </w:p>
        </w:tc>
        <w:tc>
          <w:tcPr>
            <w:tcW w:w="0" w:type="auto"/>
            <w:vAlign w:val="bottom"/>
          </w:tcPr>
          <w:p w:rsidR="00C90843" w:rsidRDefault="00C90843" w:rsidP="00B211B4">
            <w:pPr>
              <w:keepLines/>
              <w:tabs>
                <w:tab w:val="left" w:pos="4470"/>
              </w:tabs>
              <w:spacing w:before="120" w:after="120"/>
              <w:rPr>
                <w:rFonts w:ascii="Lato" w:hAnsi="Lato"/>
                <w:color w:val="595959" w:themeColor="text1" w:themeTint="A6"/>
                <w:lang w:val="es-ES"/>
              </w:rPr>
            </w:pPr>
            <w:r>
              <w:rPr>
                <w:rFonts w:ascii="Calibri" w:hAnsi="Calibri" w:cs="Calibri"/>
                <w:color w:val="000000"/>
              </w:rPr>
              <w:t>PN Desierto de los Leones</w:t>
            </w:r>
          </w:p>
        </w:tc>
        <w:tc>
          <w:tcPr>
            <w:tcW w:w="0" w:type="auto"/>
            <w:shd w:val="clear" w:color="auto" w:fill="CC00CC"/>
          </w:tcPr>
          <w:p w:rsidR="00C90843" w:rsidRDefault="00C90843" w:rsidP="00B211B4">
            <w:pPr>
              <w:keepLines/>
              <w:spacing w:before="120" w:after="120"/>
              <w:rPr>
                <w:rFonts w:ascii="Lato" w:hAnsi="Lato"/>
                <w:color w:val="FFFFFF" w:themeColor="background1"/>
                <w:lang w:val="es-ES"/>
              </w:rPr>
            </w:pPr>
            <w:r>
              <w:rPr>
                <w:rFonts w:ascii="Lato" w:hAnsi="Lato"/>
                <w:color w:val="FFFFFF" w:themeColor="background1"/>
                <w:lang w:val="es-ES"/>
              </w:rPr>
              <w:t>CoSMoS*</w:t>
            </w:r>
          </w:p>
        </w:tc>
      </w:tr>
      <w:tr w:rsidR="00C90843" w:rsidRPr="001F4FF6" w:rsidTr="00B211B4">
        <w:trPr>
          <w:jc w:val="center"/>
        </w:trPr>
        <w:tc>
          <w:tcPr>
            <w:tcW w:w="0" w:type="auto"/>
          </w:tcPr>
          <w:p w:rsidR="00C90843" w:rsidRDefault="00C90843" w:rsidP="00B211B4">
            <w:pPr>
              <w:keepLines/>
              <w:spacing w:before="120" w:after="120"/>
              <w:jc w:val="both"/>
              <w:rPr>
                <w:rFonts w:ascii="Lato" w:hAnsi="Lato"/>
                <w:color w:val="595959" w:themeColor="text1" w:themeTint="A6"/>
                <w:lang w:val="es-ES"/>
              </w:rPr>
            </w:pPr>
            <w:r>
              <w:rPr>
                <w:rFonts w:ascii="Lato" w:hAnsi="Lato"/>
                <w:color w:val="595959" w:themeColor="text1" w:themeTint="A6"/>
                <w:lang w:val="es-ES"/>
              </w:rPr>
              <w:t>59</w:t>
            </w:r>
          </w:p>
        </w:tc>
        <w:tc>
          <w:tcPr>
            <w:tcW w:w="0" w:type="auto"/>
            <w:vAlign w:val="bottom"/>
          </w:tcPr>
          <w:p w:rsidR="00C90843" w:rsidRDefault="00C90843" w:rsidP="00B211B4">
            <w:pPr>
              <w:keepLines/>
              <w:tabs>
                <w:tab w:val="left" w:pos="4470"/>
              </w:tabs>
              <w:spacing w:before="120" w:after="120"/>
              <w:rPr>
                <w:rFonts w:ascii="Lato" w:hAnsi="Lato"/>
                <w:color w:val="595959" w:themeColor="text1" w:themeTint="A6"/>
                <w:lang w:val="es-ES"/>
              </w:rPr>
            </w:pPr>
            <w:r>
              <w:rPr>
                <w:rFonts w:ascii="Calibri" w:hAnsi="Calibri" w:cs="Calibri"/>
                <w:color w:val="000000"/>
              </w:rPr>
              <w:t>PN Grutas de Cacahuamilpa</w:t>
            </w:r>
          </w:p>
        </w:tc>
        <w:tc>
          <w:tcPr>
            <w:tcW w:w="0" w:type="auto"/>
            <w:shd w:val="clear" w:color="auto" w:fill="CC00CC"/>
          </w:tcPr>
          <w:p w:rsidR="00C90843" w:rsidRDefault="00C90843" w:rsidP="00B211B4">
            <w:pPr>
              <w:keepLines/>
              <w:spacing w:before="120" w:after="120"/>
              <w:rPr>
                <w:rFonts w:ascii="Lato" w:hAnsi="Lato"/>
                <w:color w:val="FFFFFF" w:themeColor="background1"/>
                <w:lang w:val="es-ES"/>
              </w:rPr>
            </w:pPr>
            <w:r>
              <w:rPr>
                <w:rFonts w:ascii="Lato" w:hAnsi="Lato"/>
                <w:color w:val="FFFFFF" w:themeColor="background1"/>
                <w:lang w:val="es-ES"/>
              </w:rPr>
              <w:t>CoSMoS*</w:t>
            </w:r>
          </w:p>
        </w:tc>
      </w:tr>
      <w:tr w:rsidR="00C90843" w:rsidRPr="001F4FF6" w:rsidTr="00B211B4">
        <w:trPr>
          <w:jc w:val="center"/>
        </w:trPr>
        <w:tc>
          <w:tcPr>
            <w:tcW w:w="0" w:type="auto"/>
          </w:tcPr>
          <w:p w:rsidR="00C90843" w:rsidRDefault="00C90843" w:rsidP="00B211B4">
            <w:pPr>
              <w:keepLines/>
              <w:spacing w:before="120" w:after="120"/>
              <w:jc w:val="both"/>
              <w:rPr>
                <w:rFonts w:ascii="Lato" w:hAnsi="Lato"/>
                <w:color w:val="595959" w:themeColor="text1" w:themeTint="A6"/>
                <w:lang w:val="es-ES"/>
              </w:rPr>
            </w:pPr>
            <w:r>
              <w:rPr>
                <w:rFonts w:ascii="Lato" w:hAnsi="Lato"/>
                <w:color w:val="595959" w:themeColor="text1" w:themeTint="A6"/>
                <w:lang w:val="es-ES"/>
              </w:rPr>
              <w:t>60</w:t>
            </w:r>
          </w:p>
        </w:tc>
        <w:tc>
          <w:tcPr>
            <w:tcW w:w="0" w:type="auto"/>
            <w:vAlign w:val="bottom"/>
          </w:tcPr>
          <w:p w:rsidR="00C90843" w:rsidRDefault="00C90843" w:rsidP="00B211B4">
            <w:pPr>
              <w:keepLines/>
              <w:tabs>
                <w:tab w:val="left" w:pos="4470"/>
              </w:tabs>
              <w:spacing w:before="120" w:after="120"/>
              <w:rPr>
                <w:rFonts w:ascii="Lato" w:hAnsi="Lato"/>
                <w:color w:val="595959" w:themeColor="text1" w:themeTint="A6"/>
                <w:lang w:val="es-ES"/>
              </w:rPr>
            </w:pPr>
            <w:r>
              <w:rPr>
                <w:rFonts w:ascii="Calibri" w:hAnsi="Calibri" w:cs="Calibri"/>
                <w:color w:val="000000"/>
              </w:rPr>
              <w:t>PN Insurgente Miguel Hidalgo y Costilla</w:t>
            </w:r>
          </w:p>
        </w:tc>
        <w:tc>
          <w:tcPr>
            <w:tcW w:w="0" w:type="auto"/>
            <w:shd w:val="clear" w:color="auto" w:fill="CC00CC"/>
          </w:tcPr>
          <w:p w:rsidR="00C90843" w:rsidRDefault="00C90843" w:rsidP="00B211B4">
            <w:pPr>
              <w:keepLines/>
              <w:spacing w:before="120" w:after="120"/>
              <w:rPr>
                <w:rFonts w:ascii="Lato" w:hAnsi="Lato"/>
                <w:color w:val="FFFFFF" w:themeColor="background1"/>
                <w:lang w:val="es-ES"/>
              </w:rPr>
            </w:pPr>
            <w:r>
              <w:rPr>
                <w:rFonts w:ascii="Lato" w:hAnsi="Lato"/>
                <w:color w:val="FFFFFF" w:themeColor="background1"/>
                <w:lang w:val="es-ES"/>
              </w:rPr>
              <w:t>CoSMoS*</w:t>
            </w:r>
          </w:p>
        </w:tc>
      </w:tr>
      <w:tr w:rsidR="00C90843" w:rsidRPr="001F4FF6" w:rsidTr="00B211B4">
        <w:trPr>
          <w:jc w:val="center"/>
        </w:trPr>
        <w:tc>
          <w:tcPr>
            <w:tcW w:w="0" w:type="auto"/>
          </w:tcPr>
          <w:p w:rsidR="00C90843" w:rsidRDefault="00C90843" w:rsidP="00B211B4">
            <w:pPr>
              <w:keepLines/>
              <w:spacing w:before="120" w:after="120"/>
              <w:jc w:val="both"/>
              <w:rPr>
                <w:rFonts w:ascii="Lato" w:hAnsi="Lato"/>
                <w:color w:val="595959" w:themeColor="text1" w:themeTint="A6"/>
                <w:lang w:val="es-ES"/>
              </w:rPr>
            </w:pPr>
            <w:r>
              <w:rPr>
                <w:rFonts w:ascii="Lato" w:hAnsi="Lato"/>
                <w:color w:val="595959" w:themeColor="text1" w:themeTint="A6"/>
                <w:lang w:val="es-ES"/>
              </w:rPr>
              <w:t>61</w:t>
            </w:r>
          </w:p>
        </w:tc>
        <w:tc>
          <w:tcPr>
            <w:tcW w:w="0" w:type="auto"/>
            <w:vAlign w:val="bottom"/>
          </w:tcPr>
          <w:p w:rsidR="00C90843" w:rsidRDefault="00C90843" w:rsidP="00B211B4">
            <w:pPr>
              <w:keepLines/>
              <w:spacing w:before="120" w:after="120"/>
              <w:rPr>
                <w:rFonts w:ascii="Lato" w:hAnsi="Lato"/>
                <w:color w:val="595959" w:themeColor="text1" w:themeTint="A6"/>
                <w:lang w:val="es-ES"/>
              </w:rPr>
            </w:pPr>
            <w:r>
              <w:rPr>
                <w:rFonts w:ascii="Calibri" w:hAnsi="Calibri" w:cs="Calibri"/>
                <w:color w:val="000000"/>
              </w:rPr>
              <w:t>PN Iztaccíhuatl-Popocatépetl</w:t>
            </w:r>
          </w:p>
        </w:tc>
        <w:tc>
          <w:tcPr>
            <w:tcW w:w="0" w:type="auto"/>
            <w:shd w:val="clear" w:color="auto" w:fill="CC00CC"/>
          </w:tcPr>
          <w:p w:rsidR="00C90843" w:rsidRDefault="00C90843" w:rsidP="00B211B4">
            <w:pPr>
              <w:keepLines/>
              <w:spacing w:before="120" w:after="120"/>
              <w:rPr>
                <w:rFonts w:ascii="Lato" w:hAnsi="Lato"/>
                <w:color w:val="FFFFFF" w:themeColor="background1"/>
                <w:lang w:val="es-ES"/>
              </w:rPr>
            </w:pPr>
            <w:r>
              <w:rPr>
                <w:rFonts w:ascii="Lato" w:hAnsi="Lato"/>
                <w:color w:val="FFFFFF" w:themeColor="background1"/>
                <w:lang w:val="es-ES"/>
              </w:rPr>
              <w:t>CoSMoS*</w:t>
            </w:r>
          </w:p>
        </w:tc>
      </w:tr>
      <w:tr w:rsidR="00C90843" w:rsidRPr="001F4FF6" w:rsidTr="00B211B4">
        <w:trPr>
          <w:jc w:val="center"/>
        </w:trPr>
        <w:tc>
          <w:tcPr>
            <w:tcW w:w="0" w:type="auto"/>
          </w:tcPr>
          <w:p w:rsidR="00C90843" w:rsidRDefault="00C90843" w:rsidP="00B211B4">
            <w:pPr>
              <w:keepLines/>
              <w:spacing w:before="120" w:after="120"/>
              <w:jc w:val="both"/>
              <w:rPr>
                <w:rFonts w:ascii="Lato" w:hAnsi="Lato"/>
                <w:color w:val="595959" w:themeColor="text1" w:themeTint="A6"/>
                <w:lang w:val="es-ES"/>
              </w:rPr>
            </w:pPr>
            <w:r>
              <w:rPr>
                <w:rFonts w:ascii="Lato" w:hAnsi="Lato"/>
                <w:color w:val="595959" w:themeColor="text1" w:themeTint="A6"/>
                <w:lang w:val="es-ES"/>
              </w:rPr>
              <w:t>62</w:t>
            </w:r>
          </w:p>
        </w:tc>
        <w:tc>
          <w:tcPr>
            <w:tcW w:w="0" w:type="auto"/>
            <w:vAlign w:val="bottom"/>
          </w:tcPr>
          <w:p w:rsidR="00C90843" w:rsidRDefault="00C90843" w:rsidP="00B211B4">
            <w:pPr>
              <w:keepLines/>
              <w:spacing w:before="120" w:after="120"/>
              <w:rPr>
                <w:rFonts w:ascii="Lato" w:hAnsi="Lato"/>
                <w:color w:val="595959" w:themeColor="text1" w:themeTint="A6"/>
                <w:lang w:val="es-ES"/>
              </w:rPr>
            </w:pPr>
            <w:r>
              <w:rPr>
                <w:rFonts w:ascii="Calibri" w:hAnsi="Calibri" w:cs="Calibri"/>
                <w:color w:val="000000"/>
              </w:rPr>
              <w:t>PN Los Mármoles</w:t>
            </w:r>
          </w:p>
        </w:tc>
        <w:tc>
          <w:tcPr>
            <w:tcW w:w="0" w:type="auto"/>
            <w:shd w:val="clear" w:color="auto" w:fill="CC00CC"/>
          </w:tcPr>
          <w:p w:rsidR="00C90843" w:rsidRDefault="00C90843" w:rsidP="00B211B4">
            <w:pPr>
              <w:keepLines/>
              <w:spacing w:before="120" w:after="120"/>
              <w:rPr>
                <w:rFonts w:ascii="Lato" w:hAnsi="Lato"/>
                <w:color w:val="FFFFFF" w:themeColor="background1"/>
                <w:lang w:val="es-ES"/>
              </w:rPr>
            </w:pPr>
            <w:r>
              <w:rPr>
                <w:rFonts w:ascii="Lato" w:hAnsi="Lato"/>
                <w:color w:val="FFFFFF" w:themeColor="background1"/>
                <w:lang w:val="es-ES"/>
              </w:rPr>
              <w:t>CoSMoS*</w:t>
            </w:r>
          </w:p>
        </w:tc>
      </w:tr>
      <w:tr w:rsidR="00C90843" w:rsidRPr="001F4FF6" w:rsidTr="00B211B4">
        <w:trPr>
          <w:jc w:val="center"/>
        </w:trPr>
        <w:tc>
          <w:tcPr>
            <w:tcW w:w="0" w:type="auto"/>
          </w:tcPr>
          <w:p w:rsidR="00C90843" w:rsidRDefault="00C90843" w:rsidP="00B211B4">
            <w:pPr>
              <w:keepLines/>
              <w:spacing w:before="120" w:after="120"/>
              <w:jc w:val="both"/>
              <w:rPr>
                <w:rFonts w:ascii="Lato" w:hAnsi="Lato"/>
                <w:color w:val="595959" w:themeColor="text1" w:themeTint="A6"/>
                <w:lang w:val="es-ES"/>
              </w:rPr>
            </w:pPr>
            <w:r>
              <w:rPr>
                <w:rFonts w:ascii="Lato" w:hAnsi="Lato"/>
                <w:color w:val="595959" w:themeColor="text1" w:themeTint="A6"/>
                <w:lang w:val="es-ES"/>
              </w:rPr>
              <w:t>63</w:t>
            </w:r>
          </w:p>
        </w:tc>
        <w:tc>
          <w:tcPr>
            <w:tcW w:w="0" w:type="auto"/>
            <w:vAlign w:val="bottom"/>
          </w:tcPr>
          <w:p w:rsidR="00C90843" w:rsidRDefault="00C90843" w:rsidP="00B211B4">
            <w:pPr>
              <w:keepLines/>
              <w:spacing w:before="120" w:after="120"/>
              <w:rPr>
                <w:rFonts w:ascii="Lato" w:hAnsi="Lato"/>
                <w:color w:val="595959" w:themeColor="text1" w:themeTint="A6"/>
                <w:lang w:val="es-ES"/>
              </w:rPr>
            </w:pPr>
            <w:r>
              <w:rPr>
                <w:rFonts w:ascii="Calibri" w:hAnsi="Calibri" w:cs="Calibri"/>
                <w:color w:val="000000"/>
              </w:rPr>
              <w:t>PN La Montaña Malinche o Matlalcuéyatl</w:t>
            </w:r>
          </w:p>
        </w:tc>
        <w:tc>
          <w:tcPr>
            <w:tcW w:w="0" w:type="auto"/>
            <w:shd w:val="clear" w:color="auto" w:fill="CC00CC"/>
          </w:tcPr>
          <w:p w:rsidR="00C90843" w:rsidRDefault="00C90843" w:rsidP="00B211B4">
            <w:pPr>
              <w:keepLines/>
              <w:spacing w:before="120" w:after="120"/>
              <w:rPr>
                <w:rFonts w:ascii="Lato" w:hAnsi="Lato"/>
                <w:color w:val="FFFFFF" w:themeColor="background1"/>
                <w:lang w:val="es-ES"/>
              </w:rPr>
            </w:pPr>
            <w:r>
              <w:rPr>
                <w:rFonts w:ascii="Lato" w:hAnsi="Lato"/>
                <w:color w:val="FFFFFF" w:themeColor="background1"/>
                <w:lang w:val="es-ES"/>
              </w:rPr>
              <w:t>CoSMoS*</w:t>
            </w:r>
          </w:p>
        </w:tc>
      </w:tr>
      <w:tr w:rsidR="00C90843" w:rsidRPr="001F4FF6" w:rsidTr="00B211B4">
        <w:trPr>
          <w:jc w:val="center"/>
        </w:trPr>
        <w:tc>
          <w:tcPr>
            <w:tcW w:w="0" w:type="auto"/>
          </w:tcPr>
          <w:p w:rsidR="00C90843" w:rsidRDefault="00C90843" w:rsidP="00B211B4">
            <w:pPr>
              <w:keepLines/>
              <w:spacing w:before="120" w:after="120"/>
              <w:jc w:val="both"/>
              <w:rPr>
                <w:rFonts w:ascii="Lato" w:hAnsi="Lato"/>
                <w:color w:val="595959" w:themeColor="text1" w:themeTint="A6"/>
                <w:lang w:val="es-ES"/>
              </w:rPr>
            </w:pPr>
            <w:r>
              <w:rPr>
                <w:rFonts w:ascii="Lato" w:hAnsi="Lato"/>
                <w:color w:val="595959" w:themeColor="text1" w:themeTint="A6"/>
                <w:lang w:val="es-ES"/>
              </w:rPr>
              <w:t>64</w:t>
            </w:r>
          </w:p>
        </w:tc>
        <w:tc>
          <w:tcPr>
            <w:tcW w:w="0" w:type="auto"/>
            <w:vAlign w:val="bottom"/>
          </w:tcPr>
          <w:p w:rsidR="00C90843" w:rsidRDefault="00C90843" w:rsidP="00B211B4">
            <w:pPr>
              <w:keepLines/>
              <w:spacing w:before="120" w:after="120"/>
              <w:rPr>
                <w:rFonts w:ascii="Lato" w:hAnsi="Lato"/>
                <w:color w:val="595959" w:themeColor="text1" w:themeTint="A6"/>
                <w:lang w:val="es-ES"/>
              </w:rPr>
            </w:pPr>
            <w:r>
              <w:rPr>
                <w:rFonts w:ascii="Calibri" w:hAnsi="Calibri" w:cs="Calibri"/>
                <w:color w:val="000000"/>
              </w:rPr>
              <w:t>RB Sierra de Huautla</w:t>
            </w:r>
          </w:p>
        </w:tc>
        <w:tc>
          <w:tcPr>
            <w:tcW w:w="0" w:type="auto"/>
            <w:shd w:val="clear" w:color="auto" w:fill="CC00CC"/>
          </w:tcPr>
          <w:p w:rsidR="00C90843" w:rsidRDefault="00C90843" w:rsidP="00B211B4">
            <w:pPr>
              <w:keepLines/>
              <w:spacing w:before="120" w:after="120"/>
              <w:rPr>
                <w:rFonts w:ascii="Lato" w:hAnsi="Lato"/>
                <w:color w:val="FFFFFF" w:themeColor="background1"/>
                <w:lang w:val="es-ES"/>
              </w:rPr>
            </w:pPr>
            <w:r>
              <w:rPr>
                <w:rFonts w:ascii="Lato" w:hAnsi="Lato"/>
                <w:color w:val="FFFFFF" w:themeColor="background1"/>
                <w:lang w:val="es-ES"/>
              </w:rPr>
              <w:t>CoSMoS*</w:t>
            </w:r>
          </w:p>
        </w:tc>
      </w:tr>
      <w:tr w:rsidR="00C90843" w:rsidRPr="001F4FF6" w:rsidTr="00B211B4">
        <w:trPr>
          <w:jc w:val="center"/>
        </w:trPr>
        <w:tc>
          <w:tcPr>
            <w:tcW w:w="0" w:type="auto"/>
          </w:tcPr>
          <w:p w:rsidR="00C90843" w:rsidRDefault="00C90843" w:rsidP="00B211B4">
            <w:pPr>
              <w:keepLines/>
              <w:spacing w:before="120" w:after="120"/>
              <w:jc w:val="both"/>
              <w:rPr>
                <w:rFonts w:ascii="Lato" w:hAnsi="Lato"/>
                <w:color w:val="595959" w:themeColor="text1" w:themeTint="A6"/>
                <w:lang w:val="es-ES"/>
              </w:rPr>
            </w:pPr>
            <w:r>
              <w:rPr>
                <w:rFonts w:ascii="Lato" w:hAnsi="Lato"/>
                <w:color w:val="595959" w:themeColor="text1" w:themeTint="A6"/>
                <w:lang w:val="es-ES"/>
              </w:rPr>
              <w:t>65</w:t>
            </w:r>
          </w:p>
        </w:tc>
        <w:tc>
          <w:tcPr>
            <w:tcW w:w="0" w:type="auto"/>
            <w:vAlign w:val="bottom"/>
          </w:tcPr>
          <w:p w:rsidR="00C90843" w:rsidRDefault="00C90843" w:rsidP="00B211B4">
            <w:pPr>
              <w:keepLines/>
              <w:spacing w:before="120" w:after="120"/>
              <w:rPr>
                <w:rFonts w:ascii="Lato" w:hAnsi="Lato"/>
                <w:color w:val="595959" w:themeColor="text1" w:themeTint="A6"/>
                <w:lang w:val="es-ES"/>
              </w:rPr>
            </w:pPr>
            <w:r>
              <w:rPr>
                <w:rFonts w:ascii="Calibri" w:hAnsi="Calibri" w:cs="Calibri"/>
                <w:color w:val="000000"/>
              </w:rPr>
              <w:t>RB Sierra Gorda de Guanajuato</w:t>
            </w:r>
          </w:p>
        </w:tc>
        <w:tc>
          <w:tcPr>
            <w:tcW w:w="0" w:type="auto"/>
            <w:shd w:val="clear" w:color="auto" w:fill="CC00CC"/>
          </w:tcPr>
          <w:p w:rsidR="00C90843" w:rsidRDefault="00C90843" w:rsidP="00B211B4">
            <w:pPr>
              <w:keepLines/>
              <w:spacing w:before="120" w:after="120"/>
              <w:rPr>
                <w:rFonts w:ascii="Lato" w:hAnsi="Lato"/>
                <w:color w:val="FFFFFF" w:themeColor="background1"/>
                <w:lang w:val="es-ES"/>
              </w:rPr>
            </w:pPr>
            <w:r>
              <w:rPr>
                <w:rFonts w:ascii="Lato" w:hAnsi="Lato"/>
                <w:color w:val="FFFFFF" w:themeColor="background1"/>
                <w:lang w:val="es-ES"/>
              </w:rPr>
              <w:t>CoSMoS*</w:t>
            </w:r>
          </w:p>
        </w:tc>
      </w:tr>
      <w:tr w:rsidR="00C90843" w:rsidRPr="001F4FF6" w:rsidTr="00B211B4">
        <w:trPr>
          <w:jc w:val="center"/>
        </w:trPr>
        <w:tc>
          <w:tcPr>
            <w:tcW w:w="0" w:type="auto"/>
          </w:tcPr>
          <w:p w:rsidR="00C90843" w:rsidRDefault="00C90843" w:rsidP="00B211B4">
            <w:pPr>
              <w:keepLines/>
              <w:spacing w:before="120" w:after="120"/>
              <w:jc w:val="both"/>
              <w:rPr>
                <w:rFonts w:ascii="Lato" w:hAnsi="Lato"/>
                <w:color w:val="595959" w:themeColor="text1" w:themeTint="A6"/>
                <w:lang w:val="es-ES"/>
              </w:rPr>
            </w:pPr>
            <w:r>
              <w:rPr>
                <w:rFonts w:ascii="Lato" w:hAnsi="Lato"/>
                <w:color w:val="595959" w:themeColor="text1" w:themeTint="A6"/>
                <w:lang w:val="es-ES"/>
              </w:rPr>
              <w:t>66</w:t>
            </w:r>
          </w:p>
        </w:tc>
        <w:tc>
          <w:tcPr>
            <w:tcW w:w="0" w:type="auto"/>
            <w:vAlign w:val="bottom"/>
          </w:tcPr>
          <w:p w:rsidR="00C90843" w:rsidRDefault="00C90843" w:rsidP="00B211B4">
            <w:pPr>
              <w:keepLines/>
              <w:spacing w:before="120" w:after="120"/>
              <w:rPr>
                <w:rFonts w:ascii="Lato" w:hAnsi="Lato"/>
                <w:color w:val="595959" w:themeColor="text1" w:themeTint="A6"/>
                <w:lang w:val="es-ES"/>
              </w:rPr>
            </w:pPr>
            <w:r>
              <w:rPr>
                <w:rFonts w:ascii="Calibri" w:hAnsi="Calibri" w:cs="Calibri"/>
                <w:color w:val="000000"/>
              </w:rPr>
              <w:t>APFF Nevado de Toluca</w:t>
            </w:r>
          </w:p>
        </w:tc>
        <w:tc>
          <w:tcPr>
            <w:tcW w:w="0" w:type="auto"/>
            <w:shd w:val="clear" w:color="auto" w:fill="CC00CC"/>
          </w:tcPr>
          <w:p w:rsidR="00C90843" w:rsidRDefault="00C90843" w:rsidP="00B211B4">
            <w:pPr>
              <w:keepLines/>
              <w:spacing w:before="120" w:after="120"/>
              <w:rPr>
                <w:rFonts w:ascii="Lato" w:hAnsi="Lato"/>
                <w:color w:val="FFFFFF" w:themeColor="background1"/>
                <w:lang w:val="es-ES"/>
              </w:rPr>
            </w:pPr>
            <w:r>
              <w:rPr>
                <w:rFonts w:ascii="Lato" w:hAnsi="Lato"/>
                <w:color w:val="FFFFFF" w:themeColor="background1"/>
                <w:lang w:val="es-ES"/>
              </w:rPr>
              <w:t>CoSMoS*</w:t>
            </w:r>
          </w:p>
        </w:tc>
      </w:tr>
      <w:tr w:rsidR="00C90843" w:rsidRPr="001F4FF6" w:rsidTr="00B211B4">
        <w:trPr>
          <w:jc w:val="center"/>
        </w:trPr>
        <w:tc>
          <w:tcPr>
            <w:tcW w:w="0" w:type="auto"/>
          </w:tcPr>
          <w:p w:rsidR="00C90843" w:rsidRDefault="00C90843" w:rsidP="00B211B4">
            <w:pPr>
              <w:keepLines/>
              <w:spacing w:before="120" w:after="120"/>
              <w:jc w:val="both"/>
              <w:rPr>
                <w:rFonts w:ascii="Lato" w:hAnsi="Lato"/>
                <w:color w:val="595959" w:themeColor="text1" w:themeTint="A6"/>
                <w:lang w:val="es-ES"/>
              </w:rPr>
            </w:pPr>
            <w:r>
              <w:rPr>
                <w:rFonts w:ascii="Lato" w:hAnsi="Lato"/>
                <w:color w:val="595959" w:themeColor="text1" w:themeTint="A6"/>
                <w:lang w:val="es-ES"/>
              </w:rPr>
              <w:t>67</w:t>
            </w:r>
          </w:p>
        </w:tc>
        <w:tc>
          <w:tcPr>
            <w:tcW w:w="0" w:type="auto"/>
            <w:vAlign w:val="bottom"/>
          </w:tcPr>
          <w:p w:rsidR="00C90843" w:rsidRDefault="00C90843" w:rsidP="00B211B4">
            <w:pPr>
              <w:keepLines/>
              <w:spacing w:before="120" w:after="120"/>
              <w:rPr>
                <w:rFonts w:ascii="Lato" w:hAnsi="Lato"/>
                <w:color w:val="595959" w:themeColor="text1" w:themeTint="A6"/>
                <w:lang w:val="es-ES"/>
              </w:rPr>
            </w:pPr>
            <w:r>
              <w:rPr>
                <w:rFonts w:ascii="Calibri" w:hAnsi="Calibri" w:cs="Calibri"/>
                <w:color w:val="000000"/>
              </w:rPr>
              <w:t>PN El Chico</w:t>
            </w:r>
          </w:p>
        </w:tc>
        <w:tc>
          <w:tcPr>
            <w:tcW w:w="0" w:type="auto"/>
            <w:shd w:val="clear" w:color="auto" w:fill="CC00CC"/>
          </w:tcPr>
          <w:p w:rsidR="00C90843" w:rsidRDefault="00C90843" w:rsidP="00B211B4">
            <w:pPr>
              <w:keepLines/>
              <w:spacing w:before="120" w:after="120"/>
              <w:rPr>
                <w:rFonts w:ascii="Lato" w:hAnsi="Lato"/>
                <w:color w:val="FFFFFF" w:themeColor="background1"/>
                <w:lang w:val="es-ES"/>
              </w:rPr>
            </w:pPr>
            <w:r>
              <w:rPr>
                <w:rFonts w:ascii="Lato" w:hAnsi="Lato"/>
                <w:color w:val="FFFFFF" w:themeColor="background1"/>
                <w:lang w:val="es-ES"/>
              </w:rPr>
              <w:t>CoSMoS*</w:t>
            </w:r>
          </w:p>
        </w:tc>
      </w:tr>
      <w:tr w:rsidR="00C90843" w:rsidRPr="001F4FF6" w:rsidTr="00B211B4">
        <w:trPr>
          <w:jc w:val="center"/>
        </w:trPr>
        <w:tc>
          <w:tcPr>
            <w:tcW w:w="0" w:type="auto"/>
          </w:tcPr>
          <w:p w:rsidR="00C90843" w:rsidRDefault="00C90843" w:rsidP="00B211B4">
            <w:pPr>
              <w:keepLines/>
              <w:spacing w:before="120" w:after="120"/>
              <w:jc w:val="both"/>
              <w:rPr>
                <w:rFonts w:ascii="Lato" w:hAnsi="Lato"/>
                <w:color w:val="595959" w:themeColor="text1" w:themeTint="A6"/>
                <w:lang w:val="es-ES"/>
              </w:rPr>
            </w:pPr>
            <w:r>
              <w:rPr>
                <w:rFonts w:ascii="Lato" w:hAnsi="Lato"/>
                <w:color w:val="595959" w:themeColor="text1" w:themeTint="A6"/>
                <w:lang w:val="es-ES"/>
              </w:rPr>
              <w:t>68</w:t>
            </w:r>
          </w:p>
        </w:tc>
        <w:tc>
          <w:tcPr>
            <w:tcW w:w="0" w:type="auto"/>
            <w:vAlign w:val="bottom"/>
          </w:tcPr>
          <w:p w:rsidR="00C90843" w:rsidRDefault="00C90843" w:rsidP="00B211B4">
            <w:pPr>
              <w:keepLines/>
              <w:spacing w:before="120" w:after="120"/>
              <w:rPr>
                <w:rFonts w:ascii="Lato" w:hAnsi="Lato"/>
                <w:color w:val="595959" w:themeColor="text1" w:themeTint="A6"/>
                <w:lang w:val="es-ES"/>
              </w:rPr>
            </w:pPr>
            <w:r>
              <w:rPr>
                <w:rFonts w:ascii="Calibri" w:hAnsi="Calibri" w:cs="Calibri"/>
                <w:color w:val="000000"/>
              </w:rPr>
              <w:t>RB Barranca de Metztitlán</w:t>
            </w:r>
          </w:p>
        </w:tc>
        <w:tc>
          <w:tcPr>
            <w:tcW w:w="0" w:type="auto"/>
            <w:shd w:val="clear" w:color="auto" w:fill="CC00CC"/>
          </w:tcPr>
          <w:p w:rsidR="00C90843" w:rsidRDefault="00C90843" w:rsidP="00B211B4">
            <w:pPr>
              <w:keepLines/>
              <w:spacing w:before="120" w:after="120"/>
              <w:rPr>
                <w:rFonts w:ascii="Lato" w:hAnsi="Lato"/>
                <w:color w:val="FFFFFF" w:themeColor="background1"/>
                <w:lang w:val="es-ES"/>
              </w:rPr>
            </w:pPr>
            <w:r>
              <w:rPr>
                <w:rFonts w:ascii="Lato" w:hAnsi="Lato"/>
                <w:color w:val="FFFFFF" w:themeColor="background1"/>
                <w:lang w:val="es-ES"/>
              </w:rPr>
              <w:t>CoSMoS*</w:t>
            </w:r>
          </w:p>
        </w:tc>
      </w:tr>
      <w:tr w:rsidR="00C90843" w:rsidRPr="001F4FF6" w:rsidTr="00B211B4">
        <w:trPr>
          <w:jc w:val="center"/>
        </w:trPr>
        <w:tc>
          <w:tcPr>
            <w:tcW w:w="0" w:type="auto"/>
          </w:tcPr>
          <w:p w:rsidR="00C90843" w:rsidRDefault="00C90843" w:rsidP="00B211B4">
            <w:pPr>
              <w:keepLines/>
              <w:spacing w:before="120" w:after="120"/>
              <w:jc w:val="both"/>
              <w:rPr>
                <w:rFonts w:ascii="Lato" w:hAnsi="Lato"/>
                <w:color w:val="595959" w:themeColor="text1" w:themeTint="A6"/>
                <w:lang w:val="es-ES"/>
              </w:rPr>
            </w:pPr>
            <w:r>
              <w:rPr>
                <w:rFonts w:ascii="Lato" w:hAnsi="Lato"/>
                <w:color w:val="595959" w:themeColor="text1" w:themeTint="A6"/>
                <w:lang w:val="es-ES"/>
              </w:rPr>
              <w:lastRenderedPageBreak/>
              <w:t>69</w:t>
            </w:r>
          </w:p>
        </w:tc>
        <w:tc>
          <w:tcPr>
            <w:tcW w:w="0" w:type="auto"/>
            <w:vAlign w:val="bottom"/>
          </w:tcPr>
          <w:p w:rsidR="00C90843" w:rsidRDefault="00C90843" w:rsidP="00B211B4">
            <w:pPr>
              <w:keepLines/>
              <w:spacing w:before="120" w:after="120"/>
              <w:rPr>
                <w:rFonts w:ascii="Lato" w:hAnsi="Lato"/>
                <w:color w:val="595959" w:themeColor="text1" w:themeTint="A6"/>
                <w:lang w:val="es-ES"/>
              </w:rPr>
            </w:pPr>
            <w:r>
              <w:rPr>
                <w:rFonts w:ascii="Calibri" w:hAnsi="Calibri" w:cs="Calibri"/>
                <w:color w:val="000000"/>
              </w:rPr>
              <w:t>APRN Z.P.F.T.C.C. de los ríos Valle de Bravo, Malacatepec, Tilostoc y Temascaltepec</w:t>
            </w:r>
          </w:p>
        </w:tc>
        <w:tc>
          <w:tcPr>
            <w:tcW w:w="0" w:type="auto"/>
            <w:shd w:val="clear" w:color="auto" w:fill="CC00CC"/>
          </w:tcPr>
          <w:p w:rsidR="00C90843" w:rsidRDefault="00C90843" w:rsidP="00B211B4">
            <w:pPr>
              <w:keepLines/>
              <w:spacing w:before="120" w:after="120"/>
              <w:rPr>
                <w:rFonts w:ascii="Lato" w:hAnsi="Lato"/>
                <w:color w:val="FFFFFF" w:themeColor="background1"/>
                <w:lang w:val="es-ES"/>
              </w:rPr>
            </w:pPr>
            <w:r>
              <w:rPr>
                <w:rFonts w:ascii="Lato" w:hAnsi="Lato"/>
                <w:color w:val="FFFFFF" w:themeColor="background1"/>
                <w:lang w:val="es-ES"/>
              </w:rPr>
              <w:t>CoSMoS*</w:t>
            </w:r>
          </w:p>
        </w:tc>
      </w:tr>
      <w:tr w:rsidR="00C90843" w:rsidRPr="001F4FF6" w:rsidTr="00B211B4">
        <w:trPr>
          <w:jc w:val="center"/>
        </w:trPr>
        <w:tc>
          <w:tcPr>
            <w:tcW w:w="0" w:type="auto"/>
          </w:tcPr>
          <w:p w:rsidR="00C90843" w:rsidRDefault="00C90843" w:rsidP="00B211B4">
            <w:pPr>
              <w:keepLines/>
              <w:spacing w:before="120" w:after="120"/>
              <w:jc w:val="both"/>
              <w:rPr>
                <w:rFonts w:ascii="Lato" w:hAnsi="Lato"/>
                <w:color w:val="595959" w:themeColor="text1" w:themeTint="A6"/>
                <w:lang w:val="es-ES"/>
              </w:rPr>
            </w:pPr>
            <w:r>
              <w:rPr>
                <w:rFonts w:ascii="Lato" w:hAnsi="Lato"/>
                <w:color w:val="595959" w:themeColor="text1" w:themeTint="A6"/>
                <w:lang w:val="es-ES"/>
              </w:rPr>
              <w:t>70</w:t>
            </w:r>
          </w:p>
        </w:tc>
        <w:tc>
          <w:tcPr>
            <w:tcW w:w="0" w:type="auto"/>
            <w:vAlign w:val="bottom"/>
          </w:tcPr>
          <w:p w:rsidR="00C90843" w:rsidRDefault="00C90843" w:rsidP="00B211B4">
            <w:pPr>
              <w:keepLines/>
              <w:spacing w:before="120" w:after="120"/>
              <w:rPr>
                <w:rFonts w:ascii="Lato" w:hAnsi="Lato"/>
                <w:color w:val="595959" w:themeColor="text1" w:themeTint="A6"/>
                <w:lang w:val="es-ES"/>
              </w:rPr>
            </w:pPr>
            <w:r>
              <w:rPr>
                <w:rFonts w:ascii="Calibri" w:hAnsi="Calibri" w:cs="Calibri"/>
                <w:color w:val="000000"/>
              </w:rPr>
              <w:t>PN El Veladero</w:t>
            </w:r>
          </w:p>
        </w:tc>
        <w:tc>
          <w:tcPr>
            <w:tcW w:w="0" w:type="auto"/>
            <w:shd w:val="clear" w:color="auto" w:fill="CC00CC"/>
          </w:tcPr>
          <w:p w:rsidR="00C90843" w:rsidRDefault="00C90843" w:rsidP="00B211B4">
            <w:pPr>
              <w:keepLines/>
              <w:spacing w:before="120" w:after="120"/>
              <w:rPr>
                <w:rFonts w:ascii="Lato" w:hAnsi="Lato"/>
                <w:color w:val="FFFFFF" w:themeColor="background1"/>
                <w:lang w:val="es-ES"/>
              </w:rPr>
            </w:pPr>
            <w:r>
              <w:rPr>
                <w:rFonts w:ascii="Lato" w:hAnsi="Lato"/>
                <w:color w:val="FFFFFF" w:themeColor="background1"/>
                <w:lang w:val="es-ES"/>
              </w:rPr>
              <w:t>CoSMoS*</w:t>
            </w:r>
          </w:p>
        </w:tc>
      </w:tr>
    </w:tbl>
    <w:p w:rsidR="00C90843" w:rsidRDefault="00C90843" w:rsidP="00C90843">
      <w:pPr>
        <w:keepLines/>
        <w:spacing w:beforeLines="120" w:before="288" w:afterLines="120" w:after="288" w:line="288" w:lineRule="auto"/>
        <w:jc w:val="both"/>
        <w:rPr>
          <w:rFonts w:ascii="Lato" w:hAnsi="Lato"/>
          <w:color w:val="595959" w:themeColor="text1" w:themeTint="A6"/>
          <w:sz w:val="22"/>
          <w:szCs w:val="22"/>
          <w:lang w:val="es-ES"/>
        </w:rPr>
      </w:pPr>
    </w:p>
    <w:p w:rsidR="00C90843" w:rsidRPr="001F4FF6" w:rsidRDefault="00C90843" w:rsidP="00C90843">
      <w:pPr>
        <w:keepLines/>
        <w:spacing w:beforeLines="120" w:before="288" w:afterLines="120" w:after="288" w:line="288" w:lineRule="auto"/>
        <w:jc w:val="both"/>
        <w:rPr>
          <w:rFonts w:ascii="Lato" w:hAnsi="Lato"/>
          <w:color w:val="595959" w:themeColor="text1" w:themeTint="A6"/>
          <w:sz w:val="22"/>
          <w:szCs w:val="22"/>
          <w:lang w:val="es-ES"/>
        </w:rPr>
      </w:pPr>
      <w:r>
        <w:rPr>
          <w:rFonts w:ascii="Lato" w:hAnsi="Lato"/>
          <w:noProof/>
          <w:color w:val="595959" w:themeColor="text1" w:themeTint="A6"/>
          <w:sz w:val="22"/>
          <w:szCs w:val="22"/>
          <w:lang w:val="es-ES"/>
        </w:rPr>
        <w:drawing>
          <wp:inline distT="0" distB="0" distL="0" distR="0" wp14:anchorId="0ADBC968" wp14:editId="2CCA47BD">
            <wp:extent cx="5608955" cy="3398520"/>
            <wp:effectExtent l="0" t="0" r="0" b="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608955" cy="3398520"/>
                    </a:xfrm>
                    <a:prstGeom prst="rect">
                      <a:avLst/>
                    </a:prstGeom>
                    <a:noFill/>
                    <a:ln>
                      <a:noFill/>
                    </a:ln>
                  </pic:spPr>
                </pic:pic>
              </a:graphicData>
            </a:graphic>
          </wp:inline>
        </w:drawing>
      </w:r>
    </w:p>
    <w:p w:rsidR="00C90843" w:rsidRPr="001F4FF6" w:rsidRDefault="00C90843" w:rsidP="00C90843">
      <w:pPr>
        <w:keepLines/>
        <w:spacing w:beforeLines="120" w:before="288" w:afterLines="120" w:after="288" w:line="288" w:lineRule="auto"/>
        <w:jc w:val="center"/>
        <w:rPr>
          <w:rFonts w:ascii="Lato" w:hAnsi="Lato"/>
          <w:color w:val="595959" w:themeColor="text1" w:themeTint="A6"/>
          <w:sz w:val="22"/>
          <w:szCs w:val="22"/>
          <w:lang w:val="es-ES"/>
        </w:rPr>
      </w:pPr>
      <w:r w:rsidRPr="001F4FF6">
        <w:rPr>
          <w:rFonts w:ascii="Lato" w:hAnsi="Lato"/>
          <w:b/>
          <w:bCs/>
          <w:color w:val="595959" w:themeColor="text1" w:themeTint="A6"/>
          <w:sz w:val="22"/>
          <w:szCs w:val="22"/>
          <w:lang w:val="es-ES"/>
        </w:rPr>
        <w:t>Figura 1.</w:t>
      </w:r>
      <w:r>
        <w:rPr>
          <w:rFonts w:ascii="Lato" w:hAnsi="Lato"/>
          <w:color w:val="595959" w:themeColor="text1" w:themeTint="A6"/>
          <w:sz w:val="22"/>
          <w:szCs w:val="22"/>
          <w:lang w:val="es-ES"/>
        </w:rPr>
        <w:t xml:space="preserve"> 70</w:t>
      </w:r>
      <w:r w:rsidRPr="001F4FF6">
        <w:rPr>
          <w:rFonts w:ascii="Lato" w:hAnsi="Lato"/>
          <w:color w:val="595959" w:themeColor="text1" w:themeTint="A6"/>
          <w:sz w:val="22"/>
          <w:szCs w:val="22"/>
          <w:lang w:val="es-ES"/>
        </w:rPr>
        <w:t xml:space="preserve"> ANP con recursos de diferentes proyectos y fuentes financieras que operan bajo el mecanismo del FANP.</w:t>
      </w:r>
    </w:p>
    <w:p w:rsidR="00C90843" w:rsidRPr="001F4FF6"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sidRPr="001F4FF6">
        <w:rPr>
          <w:rFonts w:ascii="Lato" w:hAnsi="Lato"/>
          <w:color w:val="595959" w:themeColor="text1" w:themeTint="A6"/>
          <w:sz w:val="22"/>
          <w:szCs w:val="22"/>
          <w:lang w:val="es-ES"/>
        </w:rPr>
        <w:t>Con el fin de dar seguimiento a las actividades y estar en posibilidad de evaluar el impacto de los recursos canalizados a campo, es esencial contar con una planeación estratégica que guíe las acciones y que funcione como un sistema de monitoreo y evaluación.</w:t>
      </w:r>
    </w:p>
    <w:p w:rsidR="00C90843" w:rsidRPr="001F4FF6"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sidRPr="001F4FF6">
        <w:rPr>
          <w:rFonts w:ascii="Lato" w:hAnsi="Lato"/>
          <w:color w:val="595959" w:themeColor="text1" w:themeTint="A6"/>
          <w:sz w:val="22"/>
          <w:szCs w:val="22"/>
          <w:lang w:val="es-ES"/>
        </w:rPr>
        <w:t>Por su habitual uso entre agencias de desarrollo, FMCN ha adoptado una simplificación de la metodología alemana de planeación de proyectos orientados a metas (ZOPP por sus siglas en alemán</w:t>
      </w:r>
      <w:r>
        <w:rPr>
          <w:rFonts w:ascii="Lato" w:hAnsi="Lato"/>
          <w:color w:val="595959" w:themeColor="text1" w:themeTint="A6"/>
          <w:sz w:val="22"/>
          <w:szCs w:val="22"/>
          <w:lang w:val="es-ES"/>
        </w:rPr>
        <w:t>)</w:t>
      </w:r>
      <w:r w:rsidRPr="001F4FF6">
        <w:rPr>
          <w:rFonts w:ascii="Lato" w:hAnsi="Lato"/>
          <w:color w:val="595959" w:themeColor="text1" w:themeTint="A6"/>
          <w:sz w:val="22"/>
          <w:szCs w:val="22"/>
          <w:lang w:val="es-ES"/>
        </w:rPr>
        <w:t xml:space="preserve">. La descripción de esta metodología puede consultarse en la primera sección del Manual de Operaciones. </w:t>
      </w:r>
    </w:p>
    <w:p w:rsidR="00C90843" w:rsidRPr="001F4FF6"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sidRPr="001F4FF6">
        <w:rPr>
          <w:rFonts w:ascii="Lato" w:hAnsi="Lato"/>
          <w:color w:val="595959" w:themeColor="text1" w:themeTint="A6"/>
          <w:sz w:val="22"/>
          <w:szCs w:val="22"/>
          <w:lang w:val="es-ES"/>
        </w:rPr>
        <w:lastRenderedPageBreak/>
        <w:t>Esta planificación da como resultado un Marco Lógico (ML), que es una manera de presentar los objetivos, resultados y actividades de un proyecto. Como parte del ML se establecen los indicadores a cinco años para evaluar el avance en la consecución de resultados y se elaboran los POA. El seguimiento de los POA se realiza a través del Sistema de Seguimiento a Proyectos (Sisep) de FMCN.</w:t>
      </w:r>
    </w:p>
    <w:p w:rsidR="00C90843" w:rsidRPr="001F4FF6"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sidRPr="001F4FF6">
        <w:rPr>
          <w:rFonts w:ascii="Lato" w:hAnsi="Lato"/>
          <w:color w:val="595959" w:themeColor="text1" w:themeTint="A6"/>
          <w:sz w:val="22"/>
          <w:szCs w:val="22"/>
          <w:lang w:val="es-ES"/>
        </w:rPr>
        <w:t>Los ML de las ANP apoyadas deben estar alineados a los Programas de Conservación y Manejo de las ANP publicados por Conanp y medir al menos uno de los indicadores utilizados por FMCN, como se describe en el cuarto apartado del Manual de Operaciones. Pueden derivarse de otros ejercicios de planeación previos, con la finalidad de alinear los esfuerzos de financiamiento de conservación institucionales y otras agencias de cooperación nacional e internacional.</w:t>
      </w:r>
    </w:p>
    <w:p w:rsidR="00C90843"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sidRPr="001F4FF6">
        <w:rPr>
          <w:rFonts w:ascii="Lato" w:hAnsi="Lato"/>
          <w:color w:val="595959" w:themeColor="text1" w:themeTint="A6"/>
          <w:sz w:val="22"/>
          <w:szCs w:val="22"/>
          <w:lang w:val="es-ES"/>
        </w:rPr>
        <w:t xml:space="preserve">Los recursos financieros se canalizan a campo a través de </w:t>
      </w:r>
      <w:r>
        <w:rPr>
          <w:rFonts w:ascii="Lato" w:hAnsi="Lato"/>
          <w:color w:val="595959" w:themeColor="text1" w:themeTint="A6"/>
          <w:sz w:val="22"/>
          <w:szCs w:val="22"/>
          <w:lang w:val="es-ES"/>
        </w:rPr>
        <w:t>OLLC</w:t>
      </w:r>
      <w:r w:rsidRPr="001F4FF6">
        <w:rPr>
          <w:rFonts w:ascii="Lato" w:hAnsi="Lato"/>
          <w:color w:val="595959" w:themeColor="text1" w:themeTint="A6"/>
          <w:sz w:val="22"/>
          <w:szCs w:val="22"/>
          <w:lang w:val="es-ES"/>
        </w:rPr>
        <w:t xml:space="preserve"> administradoras; el detalle del ciclo de POA, así como los lineamientos para la ejecución de los recursos e</w:t>
      </w:r>
      <w:r>
        <w:rPr>
          <w:rFonts w:ascii="Lato" w:hAnsi="Lato"/>
          <w:color w:val="595959" w:themeColor="text1" w:themeTint="A6"/>
          <w:sz w:val="22"/>
          <w:szCs w:val="22"/>
          <w:lang w:val="es-ES"/>
        </w:rPr>
        <w:t>stán descritos en la sección cuarta</w:t>
      </w:r>
      <w:r w:rsidRPr="001F4FF6">
        <w:rPr>
          <w:rFonts w:ascii="Lato" w:hAnsi="Lato"/>
          <w:color w:val="595959" w:themeColor="text1" w:themeTint="A6"/>
          <w:sz w:val="22"/>
          <w:szCs w:val="22"/>
          <w:lang w:val="es-ES"/>
        </w:rPr>
        <w:t xml:space="preserve"> del Manual de Operaciones.</w:t>
      </w:r>
    </w:p>
    <w:p w:rsidR="00C90843" w:rsidRPr="0068373D"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p>
    <w:p w:rsidR="00C90843" w:rsidRPr="0068373D" w:rsidRDefault="00C90843" w:rsidP="00C90843">
      <w:pPr>
        <w:spacing w:beforeLines="24" w:before="57" w:afterLines="24" w:after="57" w:line="288" w:lineRule="auto"/>
        <w:jc w:val="both"/>
        <w:rPr>
          <w:rFonts w:ascii="Lato" w:hAnsi="Lato"/>
          <w:b/>
          <w:color w:val="595959" w:themeColor="text1" w:themeTint="A6"/>
          <w:sz w:val="22"/>
          <w:szCs w:val="22"/>
        </w:rPr>
      </w:pPr>
      <w:r w:rsidRPr="0068373D">
        <w:t xml:space="preserve"> </w:t>
      </w:r>
      <w:r>
        <w:rPr>
          <w:rFonts w:ascii="Lato" w:hAnsi="Lato"/>
          <w:b/>
          <w:color w:val="595959" w:themeColor="text1" w:themeTint="A6"/>
          <w:sz w:val="22"/>
          <w:szCs w:val="22"/>
        </w:rPr>
        <w:t>C</w:t>
      </w:r>
      <w:r w:rsidRPr="0068373D">
        <w:rPr>
          <w:rFonts w:ascii="Lato" w:hAnsi="Lato"/>
          <w:b/>
          <w:color w:val="595959" w:themeColor="text1" w:themeTint="A6"/>
          <w:sz w:val="22"/>
          <w:szCs w:val="22"/>
        </w:rPr>
        <w:t>. Fondo de emergencias</w:t>
      </w:r>
      <w:r>
        <w:rPr>
          <w:rFonts w:ascii="Lato" w:hAnsi="Lato"/>
          <w:b/>
          <w:color w:val="595959" w:themeColor="text1" w:themeTint="A6"/>
          <w:sz w:val="22"/>
          <w:szCs w:val="22"/>
        </w:rPr>
        <w:t xml:space="preserve"> y fondo emergente</w:t>
      </w:r>
    </w:p>
    <w:p w:rsidR="00C90843"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p>
    <w:p w:rsidR="00C90843" w:rsidRPr="001F4FF6"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sidRPr="001F4FF6">
        <w:rPr>
          <w:rFonts w:ascii="Lato" w:hAnsi="Lato"/>
          <w:color w:val="595959" w:themeColor="text1" w:themeTint="A6"/>
          <w:sz w:val="22"/>
          <w:szCs w:val="22"/>
          <w:lang w:val="es-ES"/>
        </w:rPr>
        <w:t>El Fondo de Emergencias (FE) provee recursos extraordinarios para la atención de emergencias</w:t>
      </w:r>
      <w:r>
        <w:rPr>
          <w:rFonts w:ascii="Lato" w:hAnsi="Lato"/>
          <w:color w:val="595959" w:themeColor="text1" w:themeTint="A6"/>
          <w:sz w:val="22"/>
          <w:szCs w:val="22"/>
          <w:lang w:val="es-ES"/>
        </w:rPr>
        <w:t xml:space="preserve"> que acciones inmediatas, entre 24 y 48 horas, </w:t>
      </w:r>
      <w:r w:rsidRPr="001F4FF6">
        <w:rPr>
          <w:rFonts w:ascii="Lato" w:hAnsi="Lato"/>
          <w:color w:val="595959" w:themeColor="text1" w:themeTint="A6"/>
          <w:sz w:val="22"/>
          <w:szCs w:val="22"/>
          <w:lang w:val="es-ES"/>
        </w:rPr>
        <w:t xml:space="preserve">en las ANP apoyadas por el FANP, a través de las </w:t>
      </w:r>
      <w:r>
        <w:rPr>
          <w:rFonts w:ascii="Lato" w:hAnsi="Lato"/>
          <w:color w:val="595959" w:themeColor="text1" w:themeTint="A6"/>
          <w:sz w:val="22"/>
          <w:szCs w:val="22"/>
          <w:lang w:val="es-ES"/>
        </w:rPr>
        <w:t>OLLC</w:t>
      </w:r>
      <w:r w:rsidRPr="001F4FF6">
        <w:rPr>
          <w:rFonts w:ascii="Lato" w:hAnsi="Lato"/>
          <w:color w:val="595959" w:themeColor="text1" w:themeTint="A6"/>
          <w:sz w:val="22"/>
          <w:szCs w:val="22"/>
          <w:lang w:val="es-ES"/>
        </w:rPr>
        <w:t xml:space="preserve"> administradoras.</w:t>
      </w:r>
    </w:p>
    <w:p w:rsidR="00C90843" w:rsidRPr="001F4FF6"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sidRPr="001F4FF6">
        <w:rPr>
          <w:rFonts w:ascii="Lato" w:hAnsi="Lato"/>
          <w:color w:val="595959" w:themeColor="text1" w:themeTint="A6"/>
          <w:sz w:val="22"/>
          <w:szCs w:val="22"/>
          <w:lang w:val="es-ES"/>
        </w:rPr>
        <w:t>El CTFANP define una emergencia como un evento imprevisto que por su naturaleza afecta de manera urgente e inmediata la salud de un ecosistema, la presencia de una especie o la vida de personas que habitan en un ANP. Algunas de las actividades que podrán ser financiadas a través del Fondo de Emergencias son:</w:t>
      </w:r>
    </w:p>
    <w:p w:rsidR="00C90843" w:rsidRPr="001F4FF6" w:rsidRDefault="00C90843" w:rsidP="00387388">
      <w:pPr>
        <w:pStyle w:val="Prrafodelista"/>
        <w:keepLines/>
        <w:numPr>
          <w:ilvl w:val="0"/>
          <w:numId w:val="4"/>
        </w:numPr>
        <w:spacing w:beforeLines="24" w:before="57" w:afterLines="24" w:after="57" w:line="288" w:lineRule="auto"/>
        <w:jc w:val="both"/>
        <w:rPr>
          <w:rFonts w:ascii="Lato" w:hAnsi="Lato"/>
          <w:color w:val="595959" w:themeColor="text1" w:themeTint="A6"/>
          <w:lang w:val="es-ES"/>
        </w:rPr>
      </w:pPr>
      <w:r w:rsidRPr="001F4FF6">
        <w:rPr>
          <w:rFonts w:ascii="Lato" w:hAnsi="Lato"/>
          <w:color w:val="595959" w:themeColor="text1" w:themeTint="A6"/>
          <w:lang w:val="es-ES"/>
        </w:rPr>
        <w:t>Combate y control de incendios que sobrepasen la capacidad prevista en el POA.</w:t>
      </w:r>
    </w:p>
    <w:p w:rsidR="00C90843" w:rsidRPr="001F4FF6" w:rsidRDefault="00C90843" w:rsidP="00387388">
      <w:pPr>
        <w:pStyle w:val="Prrafodelista"/>
        <w:keepLines/>
        <w:numPr>
          <w:ilvl w:val="0"/>
          <w:numId w:val="4"/>
        </w:numPr>
        <w:spacing w:beforeLines="24" w:before="57" w:afterLines="24" w:after="57" w:line="288" w:lineRule="auto"/>
        <w:jc w:val="both"/>
        <w:rPr>
          <w:rFonts w:ascii="Lato" w:hAnsi="Lato"/>
          <w:color w:val="595959" w:themeColor="text1" w:themeTint="A6"/>
          <w:lang w:val="es-ES"/>
        </w:rPr>
      </w:pPr>
      <w:r w:rsidRPr="001F4FF6">
        <w:rPr>
          <w:rFonts w:ascii="Lato" w:hAnsi="Lato"/>
          <w:color w:val="595959" w:themeColor="text1" w:themeTint="A6"/>
          <w:lang w:val="es-ES"/>
        </w:rPr>
        <w:t>Tareas de rescate en caso de inundaciones o incendios.</w:t>
      </w:r>
    </w:p>
    <w:p w:rsidR="00C90843" w:rsidRPr="001F4FF6" w:rsidRDefault="00C90843" w:rsidP="00387388">
      <w:pPr>
        <w:pStyle w:val="Prrafodelista"/>
        <w:keepLines/>
        <w:numPr>
          <w:ilvl w:val="0"/>
          <w:numId w:val="4"/>
        </w:numPr>
        <w:spacing w:beforeLines="24" w:before="57" w:afterLines="24" w:after="57" w:line="288" w:lineRule="auto"/>
        <w:jc w:val="both"/>
        <w:rPr>
          <w:rFonts w:ascii="Lato" w:hAnsi="Lato"/>
          <w:color w:val="595959" w:themeColor="text1" w:themeTint="A6"/>
          <w:lang w:val="es-ES"/>
        </w:rPr>
      </w:pPr>
      <w:r w:rsidRPr="001F4FF6">
        <w:rPr>
          <w:rFonts w:ascii="Lato" w:hAnsi="Lato"/>
          <w:color w:val="595959" w:themeColor="text1" w:themeTint="A6"/>
          <w:lang w:val="es-ES"/>
        </w:rPr>
        <w:t>Gastos hospitalarios y médicos mayores para el personal que participe directamente en la resolución de la contingencia.</w:t>
      </w:r>
    </w:p>
    <w:p w:rsidR="00C90843" w:rsidRPr="001F4FF6" w:rsidRDefault="00C90843" w:rsidP="00387388">
      <w:pPr>
        <w:pStyle w:val="Prrafodelista"/>
        <w:keepLines/>
        <w:numPr>
          <w:ilvl w:val="0"/>
          <w:numId w:val="4"/>
        </w:numPr>
        <w:spacing w:beforeLines="24" w:before="57" w:afterLines="24" w:after="57" w:line="288" w:lineRule="auto"/>
        <w:jc w:val="both"/>
        <w:rPr>
          <w:rFonts w:ascii="Lato" w:hAnsi="Lato"/>
          <w:color w:val="595959" w:themeColor="text1" w:themeTint="A6"/>
          <w:lang w:val="es-ES"/>
        </w:rPr>
      </w:pPr>
      <w:r w:rsidRPr="001F4FF6">
        <w:rPr>
          <w:rFonts w:ascii="Lato" w:hAnsi="Lato"/>
          <w:color w:val="595959" w:themeColor="text1" w:themeTint="A6"/>
          <w:lang w:val="es-ES"/>
        </w:rPr>
        <w:t>Acordonamiento y señalización de una zona que sobrepasen la capacidad de acción de acuerdo al POA autorizado.</w:t>
      </w:r>
    </w:p>
    <w:p w:rsidR="00C90843" w:rsidRPr="001F4FF6" w:rsidRDefault="00C90843" w:rsidP="00387388">
      <w:pPr>
        <w:pStyle w:val="Prrafodelista"/>
        <w:keepLines/>
        <w:numPr>
          <w:ilvl w:val="0"/>
          <w:numId w:val="4"/>
        </w:numPr>
        <w:spacing w:beforeLines="24" w:before="57" w:afterLines="24" w:after="57" w:line="288" w:lineRule="auto"/>
        <w:jc w:val="both"/>
        <w:rPr>
          <w:rFonts w:ascii="Lato" w:hAnsi="Lato"/>
          <w:color w:val="595959" w:themeColor="text1" w:themeTint="A6"/>
          <w:lang w:val="es-ES"/>
        </w:rPr>
      </w:pPr>
      <w:r w:rsidRPr="001F4FF6">
        <w:rPr>
          <w:rFonts w:ascii="Lato" w:hAnsi="Lato"/>
          <w:color w:val="595959" w:themeColor="text1" w:themeTint="A6"/>
          <w:lang w:val="es-ES"/>
        </w:rPr>
        <w:t>Reparaciones a instalaciones o equipo afectados como resultado de un desastre natural.</w:t>
      </w:r>
    </w:p>
    <w:p w:rsidR="00C90843" w:rsidRPr="001F4FF6" w:rsidRDefault="00C90843" w:rsidP="00387388">
      <w:pPr>
        <w:pStyle w:val="Prrafodelista"/>
        <w:keepLines/>
        <w:numPr>
          <w:ilvl w:val="0"/>
          <w:numId w:val="4"/>
        </w:numPr>
        <w:spacing w:beforeLines="24" w:before="57" w:afterLines="24" w:after="57" w:line="288" w:lineRule="auto"/>
        <w:jc w:val="both"/>
        <w:rPr>
          <w:rFonts w:ascii="Lato" w:hAnsi="Lato"/>
          <w:color w:val="595959" w:themeColor="text1" w:themeTint="A6"/>
          <w:lang w:val="es-ES"/>
        </w:rPr>
      </w:pPr>
      <w:r w:rsidRPr="001F4FF6">
        <w:rPr>
          <w:rFonts w:ascii="Lato" w:hAnsi="Lato"/>
          <w:color w:val="595959" w:themeColor="text1" w:themeTint="A6"/>
          <w:lang w:val="es-ES"/>
        </w:rPr>
        <w:lastRenderedPageBreak/>
        <w:t>Acciones de conservación para atención inmediata a las ANP que sufran invasiones.</w:t>
      </w:r>
    </w:p>
    <w:p w:rsidR="00C90843" w:rsidRPr="001F4FF6" w:rsidRDefault="00C90843" w:rsidP="00387388">
      <w:pPr>
        <w:pStyle w:val="Prrafodelista"/>
        <w:keepLines/>
        <w:numPr>
          <w:ilvl w:val="0"/>
          <w:numId w:val="4"/>
        </w:numPr>
        <w:spacing w:beforeLines="24" w:before="57" w:afterLines="24" w:after="57" w:line="288" w:lineRule="auto"/>
        <w:jc w:val="both"/>
        <w:rPr>
          <w:rFonts w:ascii="Lato" w:hAnsi="Lato"/>
          <w:color w:val="595959" w:themeColor="text1" w:themeTint="A6"/>
          <w:lang w:val="es-ES"/>
        </w:rPr>
      </w:pPr>
      <w:r w:rsidRPr="001F4FF6">
        <w:rPr>
          <w:rFonts w:ascii="Lato" w:hAnsi="Lato"/>
          <w:color w:val="595959" w:themeColor="text1" w:themeTint="A6"/>
          <w:lang w:val="es-ES"/>
        </w:rPr>
        <w:t>Varamiento de especies prioritarias.</w:t>
      </w:r>
    </w:p>
    <w:p w:rsidR="00C90843" w:rsidRPr="001F4FF6" w:rsidRDefault="00C90843" w:rsidP="00387388">
      <w:pPr>
        <w:pStyle w:val="Prrafodelista"/>
        <w:keepLines/>
        <w:numPr>
          <w:ilvl w:val="0"/>
          <w:numId w:val="4"/>
        </w:numPr>
        <w:spacing w:beforeLines="24" w:before="57" w:afterLines="24" w:after="57" w:line="288" w:lineRule="auto"/>
        <w:jc w:val="both"/>
        <w:rPr>
          <w:rFonts w:ascii="Lato" w:hAnsi="Lato"/>
          <w:color w:val="595959" w:themeColor="text1" w:themeTint="A6"/>
          <w:lang w:val="es-ES"/>
        </w:rPr>
      </w:pPr>
      <w:r w:rsidRPr="001F4FF6">
        <w:rPr>
          <w:rFonts w:ascii="Lato" w:hAnsi="Lato"/>
          <w:color w:val="595959" w:themeColor="text1" w:themeTint="A6"/>
          <w:lang w:val="es-ES"/>
        </w:rPr>
        <w:t>Afectaciones a zonas costeras por encallamiento de embarcaciones.</w:t>
      </w:r>
    </w:p>
    <w:p w:rsidR="00C90843"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sidRPr="72805BE4">
        <w:rPr>
          <w:rFonts w:ascii="Lato" w:hAnsi="Lato"/>
          <w:color w:val="595959" w:themeColor="text1" w:themeTint="A6"/>
          <w:sz w:val="22"/>
          <w:szCs w:val="22"/>
          <w:lang w:val="es-ES"/>
        </w:rPr>
        <w:t>El acceso a los recursos del FE estará abierto a lo largo del año y las 5</w:t>
      </w:r>
      <w:r>
        <w:rPr>
          <w:rFonts w:ascii="Lato" w:hAnsi="Lato"/>
          <w:color w:val="595959" w:themeColor="text1" w:themeTint="A6"/>
          <w:sz w:val="22"/>
          <w:szCs w:val="22"/>
          <w:lang w:val="es-ES"/>
        </w:rPr>
        <w:t>5</w:t>
      </w:r>
      <w:r w:rsidRPr="72805BE4">
        <w:rPr>
          <w:rFonts w:ascii="Lato" w:hAnsi="Lato"/>
          <w:color w:val="595959" w:themeColor="text1" w:themeTint="A6"/>
          <w:sz w:val="22"/>
          <w:szCs w:val="22"/>
          <w:lang w:val="es-ES"/>
        </w:rPr>
        <w:t xml:space="preserve"> ANP podrán acceder a él el número de veces que sea necesario hasta alcanzar el límite del </w:t>
      </w:r>
      <w:r>
        <w:rPr>
          <w:rFonts w:ascii="Lato" w:hAnsi="Lato"/>
          <w:color w:val="595959" w:themeColor="text1" w:themeTint="A6"/>
          <w:sz w:val="22"/>
          <w:szCs w:val="22"/>
          <w:lang w:val="es-ES"/>
        </w:rPr>
        <w:t>presupuesto anual</w:t>
      </w:r>
      <w:r w:rsidRPr="72805BE4">
        <w:rPr>
          <w:rFonts w:ascii="Lato" w:hAnsi="Lato"/>
          <w:color w:val="595959" w:themeColor="text1" w:themeTint="A6"/>
          <w:sz w:val="22"/>
          <w:szCs w:val="22"/>
          <w:lang w:val="es-ES"/>
        </w:rPr>
        <w:t>. Los lineamientos se describen en el apartado cuarto del Manual de Operaciones de FMCN.</w:t>
      </w:r>
    </w:p>
    <w:p w:rsidR="00C90843"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Pr>
          <w:rFonts w:ascii="Lato" w:hAnsi="Lato"/>
          <w:color w:val="595959" w:themeColor="text1" w:themeTint="A6"/>
          <w:sz w:val="22"/>
          <w:szCs w:val="22"/>
          <w:lang w:val="es-ES"/>
        </w:rPr>
        <w:t>Adicionalmente, las ANP tendrán acceso al fondo Emergente (FEm) que tiene como objetivo atender contingencias ambientales que requieren de información adicional para tomar decisiones y llevar a cabo acciones de mayor duración a las del FE, entre 48 h y hasta seis meses. Algunas actividades elegibles a financiarse con el Fondo Emergente son diagnósticos, levantamiento de información y/o investigación, análisis de datos, evaluación de diferentes escenarios para predecir y/o prevenir, por ejemplo, la presencia de plagas o especies invasoras por cambios en el clima.</w:t>
      </w:r>
    </w:p>
    <w:p w:rsidR="00C90843"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p>
    <w:p w:rsidR="00C90843"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Pr>
          <w:rFonts w:ascii="Lato" w:hAnsi="Lato"/>
          <w:color w:val="595959" w:themeColor="text1" w:themeTint="A6"/>
          <w:sz w:val="22"/>
          <w:szCs w:val="22"/>
          <w:lang w:val="es-ES"/>
        </w:rPr>
        <w:t>Las ANP podrán realizar solicitudes de FEm a lo largo del año y el AC de FMCN las presentará al CTFANP dos veces al año, en sus sesiones de marzo y octubre, para su evaluación. Los lineamientos para realizar estas solicitudes se describen en el apartado X del Manual de Operaciones de FMCN.</w:t>
      </w:r>
    </w:p>
    <w:p w:rsidR="00C90843" w:rsidRPr="001F4FF6"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p>
    <w:p w:rsidR="00C90843" w:rsidRPr="005623EC" w:rsidRDefault="00C90843" w:rsidP="00C90843">
      <w:pPr>
        <w:rPr>
          <w:rFonts w:ascii="Lato" w:hAnsi="Lato"/>
          <w:b/>
          <w:color w:val="595959" w:themeColor="text1" w:themeTint="A6"/>
          <w:sz w:val="22"/>
          <w:szCs w:val="22"/>
          <w:lang w:val="es-ES"/>
        </w:rPr>
      </w:pPr>
      <w:bookmarkStart w:id="8" w:name="_Toc61884150"/>
      <w:bookmarkStart w:id="9" w:name="_Toc95218408"/>
      <w:r w:rsidRPr="005623EC">
        <w:rPr>
          <w:rFonts w:ascii="Lato" w:hAnsi="Lato"/>
          <w:b/>
          <w:color w:val="595959" w:themeColor="text1" w:themeTint="A6"/>
          <w:sz w:val="22"/>
          <w:szCs w:val="22"/>
          <w:lang w:val="es-ES"/>
        </w:rPr>
        <w:t>A1.1.2. Mecanismos de operación del FANP</w:t>
      </w:r>
      <w:bookmarkEnd w:id="8"/>
      <w:bookmarkEnd w:id="9"/>
    </w:p>
    <w:p w:rsidR="00C90843" w:rsidRPr="003E1DA3" w:rsidRDefault="00C90843" w:rsidP="00C90843">
      <w:pPr>
        <w:spacing w:beforeLines="24" w:before="57" w:afterLines="24" w:after="57" w:line="288" w:lineRule="auto"/>
        <w:jc w:val="both"/>
        <w:rPr>
          <w:lang w:val="es-ES"/>
        </w:rPr>
      </w:pPr>
    </w:p>
    <w:p w:rsidR="00C90843" w:rsidRPr="00DD0A08" w:rsidRDefault="00C90843" w:rsidP="00C90843">
      <w:pPr>
        <w:spacing w:beforeLines="24" w:before="57" w:afterLines="24" w:after="57" w:line="288" w:lineRule="auto"/>
        <w:jc w:val="both"/>
        <w:rPr>
          <w:rFonts w:ascii="Lato" w:hAnsi="Lato"/>
          <w:b/>
          <w:color w:val="595959" w:themeColor="text1" w:themeTint="A6"/>
          <w:sz w:val="22"/>
          <w:szCs w:val="22"/>
        </w:rPr>
      </w:pPr>
      <w:r>
        <w:rPr>
          <w:rFonts w:ascii="Lato" w:hAnsi="Lato"/>
          <w:b/>
          <w:color w:val="595959" w:themeColor="text1" w:themeTint="A6"/>
          <w:sz w:val="22"/>
          <w:szCs w:val="22"/>
        </w:rPr>
        <w:t>A</w:t>
      </w:r>
      <w:r w:rsidRPr="00DD0A08">
        <w:rPr>
          <w:rFonts w:ascii="Lato" w:hAnsi="Lato"/>
          <w:b/>
          <w:color w:val="595959" w:themeColor="text1" w:themeTint="A6"/>
          <w:sz w:val="22"/>
          <w:szCs w:val="22"/>
        </w:rPr>
        <w:t>.  Planes Operativos Anuales</w:t>
      </w:r>
    </w:p>
    <w:p w:rsidR="00C90843"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p>
    <w:p w:rsidR="00C90843" w:rsidRPr="001F4FF6"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sidRPr="001F4FF6">
        <w:rPr>
          <w:rFonts w:ascii="Lato" w:hAnsi="Lato"/>
          <w:color w:val="595959" w:themeColor="text1" w:themeTint="A6"/>
          <w:sz w:val="22"/>
          <w:szCs w:val="22"/>
          <w:lang w:val="es-ES"/>
        </w:rPr>
        <w:t xml:space="preserve">Para las ANP que cuentan con un patrimonio constituido por </w:t>
      </w:r>
      <w:r>
        <w:rPr>
          <w:rFonts w:ascii="Lato" w:hAnsi="Lato"/>
          <w:color w:val="595959" w:themeColor="text1" w:themeTint="A6"/>
          <w:sz w:val="22"/>
          <w:szCs w:val="22"/>
          <w:lang w:val="es-ES"/>
        </w:rPr>
        <w:t xml:space="preserve">aportaciones del FMAM, el proyecto </w:t>
      </w:r>
      <w:r w:rsidRPr="001F4FF6">
        <w:rPr>
          <w:rFonts w:ascii="Lato" w:hAnsi="Lato"/>
          <w:color w:val="595959" w:themeColor="text1" w:themeTint="A6"/>
          <w:sz w:val="22"/>
          <w:szCs w:val="22"/>
          <w:lang w:val="es-ES"/>
        </w:rPr>
        <w:t>canaliza los recursos para el financiamiento de actividades destinadas a campo con base en una fórmula de asignación que contempla la división de los rendimientos entre 33 ANP y toma en cuenta las superficies de los polígonos establecidos en los decretos federales.</w:t>
      </w:r>
    </w:p>
    <w:p w:rsidR="00C90843" w:rsidRPr="001F4FF6"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sidRPr="001F4FF6">
        <w:rPr>
          <w:rFonts w:ascii="Lato" w:hAnsi="Lato"/>
          <w:color w:val="595959" w:themeColor="text1" w:themeTint="A6"/>
          <w:sz w:val="22"/>
          <w:szCs w:val="22"/>
          <w:lang w:val="es-ES"/>
        </w:rPr>
        <w:t xml:space="preserve">Siete de las ANP apoyadas </w:t>
      </w:r>
      <w:r>
        <w:rPr>
          <w:rFonts w:ascii="Lato" w:hAnsi="Lato"/>
          <w:color w:val="595959" w:themeColor="text1" w:themeTint="A6"/>
          <w:sz w:val="22"/>
          <w:szCs w:val="22"/>
          <w:lang w:val="es-ES"/>
        </w:rPr>
        <w:t>bajo el mecanismo</w:t>
      </w:r>
      <w:r w:rsidRPr="001F4FF6">
        <w:rPr>
          <w:rFonts w:ascii="Lato" w:hAnsi="Lato"/>
          <w:color w:val="595959" w:themeColor="text1" w:themeTint="A6"/>
          <w:sz w:val="22"/>
          <w:szCs w:val="22"/>
          <w:lang w:val="es-ES"/>
        </w:rPr>
        <w:t xml:space="preserve"> FANP cuentan con un patrimonio constituido por aportaciones de donantes específicos </w:t>
      </w:r>
      <w:r w:rsidRPr="001F4FF6">
        <w:rPr>
          <w:rFonts w:ascii="Lato" w:hAnsi="Lato"/>
          <w:b/>
          <w:bCs/>
          <w:color w:val="595959" w:themeColor="text1" w:themeTint="A6"/>
          <w:sz w:val="22"/>
          <w:szCs w:val="22"/>
          <w:lang w:val="es-ES"/>
        </w:rPr>
        <w:t>(Cuadro 3).</w:t>
      </w:r>
      <w:r>
        <w:rPr>
          <w:rFonts w:ascii="Lato" w:hAnsi="Lato"/>
          <w:color w:val="595959" w:themeColor="text1" w:themeTint="A6"/>
          <w:sz w:val="22"/>
          <w:szCs w:val="22"/>
          <w:lang w:val="es-ES"/>
        </w:rPr>
        <w:t xml:space="preserve"> Para éstas, el proyecto</w:t>
      </w:r>
      <w:r w:rsidRPr="001F4FF6">
        <w:rPr>
          <w:rFonts w:ascii="Lato" w:hAnsi="Lato"/>
          <w:color w:val="595959" w:themeColor="text1" w:themeTint="A6"/>
          <w:sz w:val="22"/>
          <w:szCs w:val="22"/>
          <w:lang w:val="es-ES"/>
        </w:rPr>
        <w:t xml:space="preserve"> canaliza los rendimientos generados por dichas aportaciones siguiendo los acuerdos con los donantes, a través de </w:t>
      </w:r>
      <w:r>
        <w:rPr>
          <w:rFonts w:ascii="Lato" w:hAnsi="Lato"/>
          <w:color w:val="595959" w:themeColor="text1" w:themeTint="A6"/>
          <w:sz w:val="22"/>
          <w:szCs w:val="22"/>
          <w:lang w:val="es-ES"/>
        </w:rPr>
        <w:t>OLLC</w:t>
      </w:r>
      <w:r w:rsidRPr="001F4FF6">
        <w:rPr>
          <w:rFonts w:ascii="Lato" w:hAnsi="Lato"/>
          <w:color w:val="595959" w:themeColor="text1" w:themeTint="A6"/>
          <w:sz w:val="22"/>
          <w:szCs w:val="22"/>
          <w:lang w:val="es-ES"/>
        </w:rPr>
        <w:t xml:space="preserve"> administradoras.</w:t>
      </w:r>
    </w:p>
    <w:p w:rsidR="00C90843" w:rsidRPr="001F4FF6" w:rsidRDefault="00C90843" w:rsidP="00C90843">
      <w:pPr>
        <w:keepLines/>
        <w:spacing w:beforeLines="120" w:before="288" w:afterLines="120" w:after="288" w:line="288" w:lineRule="auto"/>
        <w:jc w:val="both"/>
        <w:rPr>
          <w:rFonts w:ascii="Lato" w:hAnsi="Lato"/>
          <w:color w:val="595959" w:themeColor="text1" w:themeTint="A6"/>
          <w:sz w:val="22"/>
          <w:szCs w:val="22"/>
          <w:lang w:val="es-ES"/>
        </w:rPr>
      </w:pPr>
      <w:r w:rsidRPr="001F4FF6">
        <w:rPr>
          <w:rFonts w:ascii="Lato" w:hAnsi="Lato"/>
          <w:b/>
          <w:bCs/>
          <w:color w:val="595959" w:themeColor="text1" w:themeTint="A6"/>
          <w:sz w:val="22"/>
          <w:szCs w:val="22"/>
          <w:lang w:val="es-ES"/>
        </w:rPr>
        <w:lastRenderedPageBreak/>
        <w:t>Cuadro 3.</w:t>
      </w:r>
      <w:r w:rsidRPr="001F4FF6">
        <w:rPr>
          <w:rFonts w:ascii="Lato" w:hAnsi="Lato"/>
          <w:color w:val="595959" w:themeColor="text1" w:themeTint="A6"/>
          <w:sz w:val="22"/>
          <w:szCs w:val="22"/>
          <w:lang w:val="es-ES"/>
        </w:rPr>
        <w:t xml:space="preserve"> ANP con recursos de donantes específicos. </w:t>
      </w:r>
      <w:r w:rsidRPr="00782B30">
        <w:rPr>
          <w:rFonts w:ascii="Lato" w:hAnsi="Lato"/>
          <w:color w:val="595959" w:themeColor="text1" w:themeTint="A6"/>
          <w:sz w:val="22"/>
          <w:szCs w:val="22"/>
          <w:vertAlign w:val="superscript"/>
          <w:lang w:val="es-ES"/>
        </w:rPr>
        <w:t>1</w:t>
      </w:r>
      <w:r w:rsidRPr="001F4FF6">
        <w:rPr>
          <w:rFonts w:ascii="Lato" w:hAnsi="Lato"/>
          <w:color w:val="595959" w:themeColor="text1" w:themeTint="A6"/>
          <w:sz w:val="22"/>
          <w:szCs w:val="22"/>
          <w:lang w:val="es-ES"/>
        </w:rPr>
        <w:t>Categoría: APFF=Área de Protección de Flora y Fauna; PN=Parque Nacional; RB=Reserva de la Biosfera.</w:t>
      </w:r>
    </w:p>
    <w:tbl>
      <w:tblPr>
        <w:tblW w:w="7740" w:type="dxa"/>
        <w:jc w:val="center"/>
        <w:tblBorders>
          <w:top w:val="single" w:sz="4" w:space="0" w:color="7F7F7F"/>
          <w:bottom w:val="single" w:sz="4" w:space="0" w:color="7F7F7F"/>
          <w:insideH w:val="single" w:sz="4" w:space="0" w:color="7F7F7F"/>
        </w:tblBorders>
        <w:tblCellMar>
          <w:left w:w="70" w:type="dxa"/>
          <w:right w:w="70" w:type="dxa"/>
        </w:tblCellMar>
        <w:tblLook w:val="04A0" w:firstRow="1" w:lastRow="0" w:firstColumn="1" w:lastColumn="0" w:noHBand="0" w:noVBand="1"/>
      </w:tblPr>
      <w:tblGrid>
        <w:gridCol w:w="3160"/>
        <w:gridCol w:w="4580"/>
      </w:tblGrid>
      <w:tr w:rsidR="00C90843" w:rsidRPr="001F4FF6" w:rsidTr="00B211B4">
        <w:trPr>
          <w:trHeight w:val="312"/>
          <w:jc w:val="center"/>
        </w:trPr>
        <w:tc>
          <w:tcPr>
            <w:tcW w:w="3160" w:type="dxa"/>
            <w:shd w:val="clear" w:color="auto" w:fill="D0CECE" w:themeFill="background2" w:themeFillShade="E6"/>
            <w:vAlign w:val="center"/>
            <w:hideMark/>
          </w:tcPr>
          <w:p w:rsidR="00C90843" w:rsidRPr="001F4FF6" w:rsidRDefault="00C90843" w:rsidP="00B211B4">
            <w:pPr>
              <w:jc w:val="center"/>
              <w:rPr>
                <w:rFonts w:ascii="Lato" w:eastAsia="Times New Roman" w:hAnsi="Lato" w:cs="Calibri"/>
                <w:b/>
                <w:bCs/>
                <w:color w:val="595959" w:themeColor="text1" w:themeTint="A6"/>
                <w:sz w:val="22"/>
                <w:szCs w:val="22"/>
                <w:lang w:val="es-ES" w:eastAsia="es-MX"/>
              </w:rPr>
            </w:pPr>
            <w:r w:rsidRPr="001F4FF6">
              <w:rPr>
                <w:rFonts w:ascii="Lato" w:eastAsia="Times New Roman" w:hAnsi="Lato" w:cs="Arial"/>
                <w:b/>
                <w:bCs/>
                <w:color w:val="595959" w:themeColor="text1" w:themeTint="A6"/>
                <w:sz w:val="22"/>
                <w:szCs w:val="22"/>
                <w:lang w:val="es-ES" w:eastAsia="es-MX"/>
              </w:rPr>
              <w:t>Categoría</w:t>
            </w:r>
            <w:r w:rsidRPr="001F4FF6">
              <w:rPr>
                <w:rFonts w:ascii="Lato" w:eastAsia="Times New Roman" w:hAnsi="Lato" w:cs="Arial"/>
                <w:b/>
                <w:bCs/>
                <w:color w:val="595959" w:themeColor="text1" w:themeTint="A6"/>
                <w:sz w:val="22"/>
                <w:szCs w:val="22"/>
                <w:vertAlign w:val="superscript"/>
                <w:lang w:val="es-ES" w:eastAsia="es-MX"/>
              </w:rPr>
              <w:t xml:space="preserve">1 </w:t>
            </w:r>
            <w:r w:rsidRPr="001F4FF6">
              <w:rPr>
                <w:rFonts w:ascii="Lato" w:eastAsia="Times New Roman" w:hAnsi="Lato" w:cs="Arial"/>
                <w:b/>
                <w:bCs/>
                <w:color w:val="595959" w:themeColor="text1" w:themeTint="A6"/>
                <w:sz w:val="22"/>
                <w:szCs w:val="22"/>
                <w:lang w:val="es-ES" w:eastAsia="es-MX"/>
              </w:rPr>
              <w:t>y ANP</w:t>
            </w:r>
          </w:p>
        </w:tc>
        <w:tc>
          <w:tcPr>
            <w:tcW w:w="4580" w:type="dxa"/>
            <w:shd w:val="clear" w:color="auto" w:fill="D0CECE" w:themeFill="background2" w:themeFillShade="E6"/>
            <w:vAlign w:val="center"/>
            <w:hideMark/>
          </w:tcPr>
          <w:p w:rsidR="00C90843" w:rsidRPr="001F4FF6" w:rsidRDefault="00C90843" w:rsidP="00B211B4">
            <w:pPr>
              <w:jc w:val="center"/>
              <w:rPr>
                <w:rFonts w:ascii="Lato" w:eastAsia="Times New Roman" w:hAnsi="Lato" w:cs="Calibri"/>
                <w:b/>
                <w:bCs/>
                <w:color w:val="595959" w:themeColor="text1" w:themeTint="A6"/>
                <w:sz w:val="22"/>
                <w:szCs w:val="22"/>
                <w:lang w:val="es-ES" w:eastAsia="es-MX"/>
              </w:rPr>
            </w:pPr>
            <w:r w:rsidRPr="001F4FF6">
              <w:rPr>
                <w:rFonts w:ascii="Lato" w:eastAsia="Times New Roman" w:hAnsi="Lato" w:cs="Arial"/>
                <w:b/>
                <w:bCs/>
                <w:color w:val="595959" w:themeColor="text1" w:themeTint="A6"/>
                <w:sz w:val="22"/>
                <w:szCs w:val="22"/>
                <w:lang w:val="es-ES" w:eastAsia="es-MX"/>
              </w:rPr>
              <w:t>Donante</w:t>
            </w:r>
          </w:p>
        </w:tc>
      </w:tr>
      <w:tr w:rsidR="00C90843" w:rsidRPr="001F4FF6" w:rsidTr="00B211B4">
        <w:trPr>
          <w:trHeight w:val="300"/>
          <w:jc w:val="center"/>
        </w:trPr>
        <w:tc>
          <w:tcPr>
            <w:tcW w:w="3160"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2"/>
                <w:szCs w:val="22"/>
                <w:lang w:val="es-ES" w:eastAsia="es-MX"/>
              </w:rPr>
            </w:pPr>
            <w:r w:rsidRPr="001F4FF6">
              <w:rPr>
                <w:rFonts w:ascii="Lato" w:eastAsia="Times New Roman" w:hAnsi="Lato" w:cs="Arial"/>
                <w:color w:val="595959" w:themeColor="text1" w:themeTint="A6"/>
                <w:sz w:val="22"/>
                <w:szCs w:val="22"/>
                <w:lang w:val="es-ES" w:eastAsia="es-MX"/>
              </w:rPr>
              <w:t>RB Sierra de Manantlán</w:t>
            </w:r>
          </w:p>
        </w:tc>
        <w:tc>
          <w:tcPr>
            <w:tcW w:w="4580" w:type="dxa"/>
            <w:shd w:val="clear" w:color="auto" w:fill="auto"/>
            <w:vAlign w:val="center"/>
            <w:hideMark/>
          </w:tcPr>
          <w:p w:rsidR="00C90843" w:rsidRPr="001F4FF6" w:rsidRDefault="00C90843" w:rsidP="00B211B4">
            <w:pPr>
              <w:jc w:val="center"/>
              <w:rPr>
                <w:rFonts w:ascii="Lato" w:eastAsia="Times New Roman" w:hAnsi="Lato" w:cs="Calibri"/>
                <w:color w:val="595959" w:themeColor="text1" w:themeTint="A6"/>
                <w:sz w:val="22"/>
                <w:szCs w:val="22"/>
                <w:lang w:val="es-ES" w:eastAsia="es-MX"/>
              </w:rPr>
            </w:pPr>
            <w:r w:rsidRPr="001F4FF6">
              <w:rPr>
                <w:rFonts w:ascii="Lato" w:eastAsia="Times New Roman" w:hAnsi="Lato" w:cs="Arial"/>
                <w:color w:val="595959" w:themeColor="text1" w:themeTint="A6"/>
                <w:sz w:val="22"/>
                <w:szCs w:val="22"/>
                <w:lang w:val="es-ES" w:eastAsia="es-MX"/>
              </w:rPr>
              <w:t>Fundación Gonzalo Río Arronte, I. A. P. (FGRA)</w:t>
            </w:r>
          </w:p>
        </w:tc>
      </w:tr>
      <w:tr w:rsidR="00C90843" w:rsidRPr="001F4FF6" w:rsidTr="00B211B4">
        <w:trPr>
          <w:trHeight w:val="288"/>
          <w:jc w:val="center"/>
        </w:trPr>
        <w:tc>
          <w:tcPr>
            <w:tcW w:w="3160"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2"/>
                <w:szCs w:val="22"/>
                <w:lang w:val="es-ES" w:eastAsia="es-MX"/>
              </w:rPr>
            </w:pPr>
            <w:r w:rsidRPr="001F4FF6">
              <w:rPr>
                <w:rFonts w:ascii="Lato" w:eastAsia="Times New Roman" w:hAnsi="Lato" w:cs="Calibri"/>
                <w:color w:val="595959" w:themeColor="text1" w:themeTint="A6"/>
                <w:sz w:val="22"/>
                <w:szCs w:val="22"/>
                <w:lang w:val="es-ES" w:eastAsia="es-MX"/>
              </w:rPr>
              <w:t>RB Banco Chinchorro</w:t>
            </w:r>
          </w:p>
        </w:tc>
        <w:tc>
          <w:tcPr>
            <w:tcW w:w="4580" w:type="dxa"/>
            <w:vMerge w:val="restart"/>
            <w:shd w:val="clear" w:color="auto" w:fill="auto"/>
            <w:vAlign w:val="center"/>
            <w:hideMark/>
          </w:tcPr>
          <w:p w:rsidR="00C90843" w:rsidRPr="001F4FF6" w:rsidRDefault="00C90843" w:rsidP="00B211B4">
            <w:pPr>
              <w:jc w:val="center"/>
              <w:rPr>
                <w:rFonts w:ascii="Lato" w:eastAsia="Times New Roman" w:hAnsi="Lato" w:cs="Calibri"/>
                <w:i/>
                <w:color w:val="595959" w:themeColor="text1" w:themeTint="A6"/>
                <w:sz w:val="22"/>
                <w:szCs w:val="22"/>
                <w:lang w:val="es-ES" w:eastAsia="es-MX"/>
              </w:rPr>
            </w:pPr>
            <w:r w:rsidRPr="001F4FF6">
              <w:rPr>
                <w:rFonts w:ascii="Lato" w:eastAsia="Times New Roman" w:hAnsi="Lato" w:cs="Arial"/>
                <w:i/>
                <w:color w:val="595959" w:themeColor="text1" w:themeTint="A6"/>
                <w:sz w:val="22"/>
                <w:szCs w:val="22"/>
                <w:lang w:val="es-ES" w:eastAsia="es-MX"/>
              </w:rPr>
              <w:t>The Summit Charitable Foundation</w:t>
            </w:r>
            <w:r w:rsidRPr="001F4FF6">
              <w:rPr>
                <w:rFonts w:ascii="Lato" w:eastAsia="Times New Roman" w:hAnsi="Lato" w:cs="Arial"/>
                <w:i/>
                <w:color w:val="595959" w:themeColor="text1" w:themeTint="A6"/>
                <w:sz w:val="22"/>
                <w:szCs w:val="22"/>
                <w:lang w:val="es-ES" w:eastAsia="es-MX"/>
              </w:rPr>
              <w:br/>
            </w:r>
          </w:p>
        </w:tc>
      </w:tr>
      <w:tr w:rsidR="00C90843" w:rsidRPr="001F4FF6" w:rsidTr="00B211B4">
        <w:trPr>
          <w:trHeight w:val="288"/>
          <w:jc w:val="center"/>
        </w:trPr>
        <w:tc>
          <w:tcPr>
            <w:tcW w:w="3160"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2"/>
                <w:szCs w:val="22"/>
                <w:lang w:val="es-ES" w:eastAsia="es-MX"/>
              </w:rPr>
            </w:pPr>
            <w:r w:rsidRPr="001F4FF6">
              <w:rPr>
                <w:rFonts w:ascii="Lato" w:eastAsia="Times New Roman" w:hAnsi="Lato" w:cs="Arial"/>
                <w:color w:val="595959" w:themeColor="text1" w:themeTint="A6"/>
                <w:sz w:val="22"/>
                <w:szCs w:val="22"/>
                <w:lang w:val="es-ES" w:eastAsia="es-MX"/>
              </w:rPr>
              <w:t>PN Arrecifes de Xcalak</w:t>
            </w:r>
          </w:p>
        </w:tc>
        <w:tc>
          <w:tcPr>
            <w:tcW w:w="4580" w:type="dxa"/>
            <w:vMerge/>
            <w:vAlign w:val="center"/>
            <w:hideMark/>
          </w:tcPr>
          <w:p w:rsidR="00C90843" w:rsidRPr="001F4FF6" w:rsidRDefault="00C90843" w:rsidP="00B211B4">
            <w:pPr>
              <w:rPr>
                <w:rFonts w:ascii="Lato" w:eastAsia="Times New Roman" w:hAnsi="Lato" w:cs="Calibri"/>
                <w:color w:val="595959" w:themeColor="text1" w:themeTint="A6"/>
                <w:sz w:val="22"/>
                <w:szCs w:val="22"/>
                <w:lang w:val="es-ES" w:eastAsia="es-MX"/>
              </w:rPr>
            </w:pPr>
          </w:p>
        </w:tc>
      </w:tr>
      <w:tr w:rsidR="00C90843" w:rsidRPr="00A70100" w:rsidTr="00B211B4">
        <w:trPr>
          <w:trHeight w:val="576"/>
          <w:jc w:val="center"/>
        </w:trPr>
        <w:tc>
          <w:tcPr>
            <w:tcW w:w="3160"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2"/>
                <w:szCs w:val="22"/>
                <w:lang w:val="es-ES" w:eastAsia="es-MX"/>
              </w:rPr>
            </w:pPr>
            <w:r w:rsidRPr="001F4FF6">
              <w:rPr>
                <w:rFonts w:ascii="Lato" w:eastAsia="Times New Roman" w:hAnsi="Lato" w:cs="Arial"/>
                <w:color w:val="595959" w:themeColor="text1" w:themeTint="A6"/>
                <w:sz w:val="22"/>
                <w:szCs w:val="22"/>
                <w:lang w:val="es-ES" w:eastAsia="es-MX"/>
              </w:rPr>
              <w:t>RB El Triunfo</w:t>
            </w:r>
          </w:p>
        </w:tc>
        <w:tc>
          <w:tcPr>
            <w:tcW w:w="4580" w:type="dxa"/>
            <w:shd w:val="clear" w:color="auto" w:fill="auto"/>
            <w:vAlign w:val="center"/>
            <w:hideMark/>
          </w:tcPr>
          <w:p w:rsidR="00C90843" w:rsidRPr="00B3501B" w:rsidRDefault="00C90843" w:rsidP="00B211B4">
            <w:pPr>
              <w:jc w:val="center"/>
              <w:rPr>
                <w:rFonts w:ascii="Lato" w:eastAsia="Times New Roman" w:hAnsi="Lato" w:cs="Calibri"/>
                <w:color w:val="595959" w:themeColor="text1" w:themeTint="A6"/>
                <w:sz w:val="22"/>
                <w:szCs w:val="22"/>
                <w:lang w:val="en-US" w:eastAsia="es-MX"/>
              </w:rPr>
            </w:pPr>
            <w:r w:rsidRPr="00B3501B">
              <w:rPr>
                <w:rFonts w:ascii="Lato" w:eastAsia="Times New Roman" w:hAnsi="Lato" w:cs="Arial"/>
                <w:color w:val="595959" w:themeColor="text1" w:themeTint="A6"/>
                <w:sz w:val="22"/>
                <w:szCs w:val="22"/>
                <w:lang w:val="en-US" w:eastAsia="es-MX"/>
              </w:rPr>
              <w:t>FGRA</w:t>
            </w:r>
            <w:r w:rsidRPr="00B3501B">
              <w:rPr>
                <w:rFonts w:ascii="Lato" w:eastAsia="Times New Roman" w:hAnsi="Lato" w:cs="Arial"/>
                <w:color w:val="595959" w:themeColor="text1" w:themeTint="A6"/>
                <w:sz w:val="22"/>
                <w:szCs w:val="22"/>
                <w:lang w:val="en-US" w:eastAsia="es-MX"/>
              </w:rPr>
              <w:br/>
            </w:r>
            <w:r w:rsidRPr="00B3501B">
              <w:rPr>
                <w:rFonts w:ascii="Lato" w:eastAsia="Times New Roman" w:hAnsi="Lato" w:cs="Arial"/>
                <w:i/>
                <w:color w:val="595959" w:themeColor="text1" w:themeTint="A6"/>
                <w:sz w:val="22"/>
                <w:szCs w:val="22"/>
                <w:lang w:val="en-US" w:eastAsia="es-MX"/>
              </w:rPr>
              <w:t>The David and Lucile Packard Foundation</w:t>
            </w:r>
          </w:p>
        </w:tc>
      </w:tr>
      <w:tr w:rsidR="00C90843" w:rsidRPr="00A70100" w:rsidTr="00B211B4">
        <w:trPr>
          <w:trHeight w:val="576"/>
          <w:jc w:val="center"/>
        </w:trPr>
        <w:tc>
          <w:tcPr>
            <w:tcW w:w="3160"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2"/>
                <w:szCs w:val="22"/>
                <w:lang w:val="es-ES" w:eastAsia="es-MX"/>
              </w:rPr>
            </w:pPr>
            <w:r w:rsidRPr="001F4FF6">
              <w:rPr>
                <w:rFonts w:ascii="Lato" w:eastAsia="Times New Roman" w:hAnsi="Lato" w:cs="Arial"/>
                <w:color w:val="595959" w:themeColor="text1" w:themeTint="A6"/>
                <w:sz w:val="22"/>
                <w:szCs w:val="22"/>
                <w:lang w:val="es-ES" w:eastAsia="es-MX"/>
              </w:rPr>
              <w:t>PN Zona Marina del Archipiélago de Espíritu Santo</w:t>
            </w:r>
          </w:p>
        </w:tc>
        <w:tc>
          <w:tcPr>
            <w:tcW w:w="4580" w:type="dxa"/>
            <w:shd w:val="clear" w:color="auto" w:fill="auto"/>
            <w:vAlign w:val="center"/>
            <w:hideMark/>
          </w:tcPr>
          <w:p w:rsidR="00C90843" w:rsidRPr="00B3501B" w:rsidRDefault="00C90843" w:rsidP="00B211B4">
            <w:pPr>
              <w:jc w:val="center"/>
              <w:rPr>
                <w:rFonts w:ascii="Lato" w:eastAsia="Times New Roman" w:hAnsi="Lato" w:cs="Calibri"/>
                <w:i/>
                <w:color w:val="595959" w:themeColor="text1" w:themeTint="A6"/>
                <w:sz w:val="22"/>
                <w:szCs w:val="22"/>
                <w:lang w:val="en-US" w:eastAsia="es-MX"/>
              </w:rPr>
            </w:pPr>
            <w:r w:rsidRPr="00B3501B">
              <w:rPr>
                <w:rFonts w:ascii="Lato" w:eastAsia="Times New Roman" w:hAnsi="Lato" w:cs="Calibri"/>
                <w:i/>
                <w:color w:val="595959" w:themeColor="text1" w:themeTint="A6"/>
                <w:sz w:val="22"/>
                <w:szCs w:val="22"/>
                <w:lang w:val="en-US" w:eastAsia="es-MX"/>
              </w:rPr>
              <w:t>The David and Lucile Packard Foundation</w:t>
            </w:r>
          </w:p>
        </w:tc>
      </w:tr>
      <w:tr w:rsidR="00C90843" w:rsidRPr="00A70100" w:rsidTr="00B211B4">
        <w:trPr>
          <w:trHeight w:val="576"/>
          <w:jc w:val="center"/>
        </w:trPr>
        <w:tc>
          <w:tcPr>
            <w:tcW w:w="3160"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2"/>
                <w:szCs w:val="22"/>
                <w:lang w:val="es-ES" w:eastAsia="es-MX"/>
              </w:rPr>
            </w:pPr>
            <w:r w:rsidRPr="001F4FF6">
              <w:rPr>
                <w:rFonts w:ascii="Lato" w:eastAsia="Times New Roman" w:hAnsi="Lato" w:cs="Arial"/>
                <w:color w:val="595959" w:themeColor="text1" w:themeTint="A6"/>
                <w:sz w:val="22"/>
                <w:szCs w:val="22"/>
                <w:lang w:val="es-ES" w:eastAsia="es-MX"/>
              </w:rPr>
              <w:t>APFF Bavispe</w:t>
            </w:r>
          </w:p>
        </w:tc>
        <w:tc>
          <w:tcPr>
            <w:tcW w:w="4580" w:type="dxa"/>
            <w:shd w:val="clear" w:color="auto" w:fill="auto"/>
            <w:vAlign w:val="center"/>
            <w:hideMark/>
          </w:tcPr>
          <w:p w:rsidR="00C90843" w:rsidRPr="00B3501B" w:rsidRDefault="00C90843" w:rsidP="00B211B4">
            <w:pPr>
              <w:jc w:val="center"/>
              <w:rPr>
                <w:rFonts w:ascii="Lato" w:eastAsia="Times New Roman" w:hAnsi="Lato" w:cs="Arial"/>
                <w:i/>
                <w:color w:val="595959" w:themeColor="text1" w:themeTint="A6"/>
                <w:sz w:val="22"/>
                <w:szCs w:val="22"/>
                <w:lang w:val="en-US" w:eastAsia="es-MX"/>
              </w:rPr>
            </w:pPr>
            <w:r w:rsidRPr="00B3501B">
              <w:rPr>
                <w:rFonts w:ascii="Lato" w:eastAsia="Times New Roman" w:hAnsi="Lato" w:cs="Arial"/>
                <w:i/>
                <w:color w:val="595959" w:themeColor="text1" w:themeTint="A6"/>
                <w:sz w:val="22"/>
                <w:szCs w:val="22"/>
                <w:lang w:val="en-US" w:eastAsia="es-MX"/>
              </w:rPr>
              <w:t>Ford Foundation</w:t>
            </w:r>
            <w:r w:rsidRPr="00B3501B">
              <w:rPr>
                <w:rFonts w:ascii="Lato" w:eastAsia="Times New Roman" w:hAnsi="Lato" w:cs="Arial"/>
                <w:i/>
                <w:color w:val="595959" w:themeColor="text1" w:themeTint="A6"/>
                <w:sz w:val="22"/>
                <w:szCs w:val="22"/>
                <w:lang w:val="en-US" w:eastAsia="es-MX"/>
              </w:rPr>
              <w:br/>
              <w:t>National Fish and Wildlife Foundation</w:t>
            </w:r>
          </w:p>
          <w:p w:rsidR="00C90843" w:rsidRPr="00B3501B" w:rsidRDefault="00C90843" w:rsidP="00B211B4">
            <w:pPr>
              <w:jc w:val="center"/>
              <w:rPr>
                <w:rFonts w:ascii="Lato" w:eastAsia="Times New Roman" w:hAnsi="Lato" w:cs="Calibri"/>
                <w:i/>
                <w:color w:val="595959" w:themeColor="text1" w:themeTint="A6"/>
                <w:sz w:val="22"/>
                <w:szCs w:val="22"/>
                <w:lang w:val="en-US" w:eastAsia="es-MX"/>
              </w:rPr>
            </w:pPr>
            <w:r w:rsidRPr="00B3501B">
              <w:rPr>
                <w:rFonts w:ascii="Lato" w:eastAsia="Times New Roman" w:hAnsi="Lato" w:cs="Calibri"/>
                <w:i/>
                <w:color w:val="595959" w:themeColor="text1" w:themeTint="A6"/>
                <w:sz w:val="22"/>
                <w:szCs w:val="22"/>
                <w:lang w:val="en-US" w:eastAsia="es-MX"/>
              </w:rPr>
              <w:t>The Summit Charitable Foundation</w:t>
            </w:r>
          </w:p>
          <w:p w:rsidR="00C90843" w:rsidRPr="00B3501B" w:rsidRDefault="00C90843" w:rsidP="00B211B4">
            <w:pPr>
              <w:jc w:val="center"/>
              <w:rPr>
                <w:rFonts w:ascii="Lato" w:eastAsia="Times New Roman" w:hAnsi="Lato" w:cs="Calibri"/>
                <w:i/>
                <w:color w:val="595959" w:themeColor="text1" w:themeTint="A6"/>
                <w:sz w:val="22"/>
                <w:szCs w:val="22"/>
                <w:lang w:val="en-US" w:eastAsia="es-MX"/>
              </w:rPr>
            </w:pPr>
            <w:r w:rsidRPr="00B3501B">
              <w:rPr>
                <w:rFonts w:ascii="Lato" w:eastAsia="Times New Roman" w:hAnsi="Lato" w:cs="Calibri"/>
                <w:i/>
                <w:color w:val="595959" w:themeColor="text1" w:themeTint="A6"/>
                <w:sz w:val="22"/>
                <w:szCs w:val="22"/>
                <w:lang w:val="en-US" w:eastAsia="es-MX"/>
              </w:rPr>
              <w:t>The David and Lucile Packard Foundation</w:t>
            </w:r>
          </w:p>
        </w:tc>
      </w:tr>
      <w:tr w:rsidR="00C90843" w:rsidRPr="00A70100" w:rsidTr="00B211B4">
        <w:trPr>
          <w:trHeight w:val="300"/>
          <w:jc w:val="center"/>
        </w:trPr>
        <w:tc>
          <w:tcPr>
            <w:tcW w:w="3160"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2"/>
                <w:szCs w:val="22"/>
                <w:lang w:val="es-ES" w:eastAsia="es-MX"/>
              </w:rPr>
            </w:pPr>
            <w:r w:rsidRPr="001F4FF6">
              <w:rPr>
                <w:rFonts w:ascii="Lato" w:eastAsia="Times New Roman" w:hAnsi="Lato" w:cs="Calibri"/>
                <w:color w:val="595959" w:themeColor="text1" w:themeTint="A6"/>
                <w:sz w:val="22"/>
                <w:szCs w:val="22"/>
                <w:lang w:val="es-ES" w:eastAsia="es-MX"/>
              </w:rPr>
              <w:t>PN Cabo Pulmo*</w:t>
            </w:r>
          </w:p>
        </w:tc>
        <w:tc>
          <w:tcPr>
            <w:tcW w:w="4580" w:type="dxa"/>
            <w:shd w:val="clear" w:color="auto" w:fill="auto"/>
            <w:vAlign w:val="center"/>
            <w:hideMark/>
          </w:tcPr>
          <w:p w:rsidR="00C90843" w:rsidRPr="00B3501B" w:rsidRDefault="00C90843" w:rsidP="00B211B4">
            <w:pPr>
              <w:jc w:val="center"/>
              <w:rPr>
                <w:rFonts w:ascii="Lato" w:eastAsia="Times New Roman" w:hAnsi="Lato" w:cs="Calibri"/>
                <w:i/>
                <w:color w:val="595959" w:themeColor="text1" w:themeTint="A6"/>
                <w:sz w:val="22"/>
                <w:szCs w:val="22"/>
                <w:lang w:val="en-US" w:eastAsia="es-MX"/>
              </w:rPr>
            </w:pPr>
            <w:r w:rsidRPr="00B3501B">
              <w:rPr>
                <w:rFonts w:ascii="Lato" w:eastAsia="Times New Roman" w:hAnsi="Lato" w:cs="Calibri"/>
                <w:i/>
                <w:color w:val="595959" w:themeColor="text1" w:themeTint="A6"/>
                <w:sz w:val="22"/>
                <w:szCs w:val="22"/>
                <w:lang w:val="en-US" w:eastAsia="es-MX"/>
              </w:rPr>
              <w:t>The David and Lucile Packard Foundation</w:t>
            </w:r>
          </w:p>
        </w:tc>
      </w:tr>
    </w:tbl>
    <w:p w:rsidR="00C90843" w:rsidRPr="001F4FF6" w:rsidRDefault="00C90843" w:rsidP="00C90843">
      <w:pPr>
        <w:keepLines/>
        <w:spacing w:beforeLines="120" w:before="288" w:afterLines="120" w:after="288" w:line="288" w:lineRule="auto"/>
        <w:jc w:val="both"/>
        <w:rPr>
          <w:rFonts w:ascii="Lato" w:hAnsi="Lato"/>
          <w:color w:val="595959" w:themeColor="text1" w:themeTint="A6"/>
          <w:sz w:val="22"/>
          <w:szCs w:val="22"/>
          <w:lang w:val="es-ES"/>
        </w:rPr>
      </w:pPr>
      <w:r w:rsidRPr="001F4FF6">
        <w:rPr>
          <w:rFonts w:ascii="Lato" w:hAnsi="Lato"/>
          <w:color w:val="595959" w:themeColor="text1" w:themeTint="A6"/>
          <w:sz w:val="22"/>
          <w:szCs w:val="22"/>
          <w:lang w:val="es-ES"/>
        </w:rPr>
        <w:t xml:space="preserve">*Nota: PN Cabo Pulmo, además de recibir los recursos etiquetados </w:t>
      </w:r>
      <w:r w:rsidRPr="00782B30">
        <w:rPr>
          <w:rFonts w:ascii="Lato" w:hAnsi="Lato"/>
          <w:i/>
          <w:iCs/>
          <w:color w:val="595959" w:themeColor="text1" w:themeTint="A6"/>
          <w:sz w:val="22"/>
          <w:szCs w:val="22"/>
          <w:lang w:val="es-ES"/>
        </w:rPr>
        <w:t>de The David and Lucile Packard Foundation</w:t>
      </w:r>
      <w:r>
        <w:rPr>
          <w:rFonts w:ascii="Lato" w:hAnsi="Lato"/>
          <w:color w:val="595959" w:themeColor="text1" w:themeTint="A6"/>
          <w:sz w:val="22"/>
          <w:szCs w:val="22"/>
          <w:lang w:val="es-ES"/>
        </w:rPr>
        <w:t xml:space="preserve"> también recibe</w:t>
      </w:r>
      <w:r w:rsidRPr="001F4FF6">
        <w:rPr>
          <w:rFonts w:ascii="Lato" w:hAnsi="Lato"/>
          <w:color w:val="595959" w:themeColor="text1" w:themeTint="A6"/>
          <w:sz w:val="22"/>
          <w:szCs w:val="22"/>
          <w:lang w:val="es-ES"/>
        </w:rPr>
        <w:t xml:space="preserve"> recursos provenientes del FMAM. </w:t>
      </w:r>
    </w:p>
    <w:p w:rsidR="00C90843" w:rsidRPr="001F4FF6"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Pr>
          <w:rFonts w:ascii="Lato" w:hAnsi="Lato"/>
          <w:color w:val="595959" w:themeColor="text1" w:themeTint="A6"/>
          <w:sz w:val="22"/>
          <w:szCs w:val="22"/>
          <w:lang w:val="es-ES"/>
        </w:rPr>
        <w:t>El personal del Área de Conservación</w:t>
      </w:r>
      <w:r w:rsidRPr="001F4FF6">
        <w:rPr>
          <w:rFonts w:ascii="Lato" w:hAnsi="Lato"/>
          <w:color w:val="595959" w:themeColor="text1" w:themeTint="A6"/>
          <w:sz w:val="22"/>
          <w:szCs w:val="22"/>
          <w:lang w:val="es-ES"/>
        </w:rPr>
        <w:t xml:space="preserve"> se asegura de mantener informado al respecto al </w:t>
      </w:r>
      <w:r>
        <w:rPr>
          <w:rFonts w:ascii="Lato" w:hAnsi="Lato"/>
          <w:color w:val="595959" w:themeColor="text1" w:themeTint="A6"/>
          <w:sz w:val="22"/>
          <w:szCs w:val="22"/>
          <w:lang w:val="es-ES"/>
        </w:rPr>
        <w:t xml:space="preserve">órgano de gobernanza, el </w:t>
      </w:r>
      <w:r w:rsidRPr="001F4FF6">
        <w:rPr>
          <w:rFonts w:ascii="Lato" w:hAnsi="Lato"/>
          <w:color w:val="595959" w:themeColor="text1" w:themeTint="A6"/>
          <w:sz w:val="22"/>
          <w:szCs w:val="22"/>
          <w:lang w:val="es-ES"/>
        </w:rPr>
        <w:t>CTFANP</w:t>
      </w:r>
      <w:r>
        <w:rPr>
          <w:rFonts w:ascii="Lato" w:hAnsi="Lato"/>
          <w:color w:val="595959" w:themeColor="text1" w:themeTint="A6"/>
          <w:sz w:val="22"/>
          <w:szCs w:val="22"/>
          <w:lang w:val="es-ES"/>
        </w:rPr>
        <w:t xml:space="preserve"> en este caso,</w:t>
      </w:r>
      <w:r w:rsidRPr="001F4FF6">
        <w:rPr>
          <w:rFonts w:ascii="Lato" w:hAnsi="Lato"/>
          <w:color w:val="595959" w:themeColor="text1" w:themeTint="A6"/>
          <w:sz w:val="22"/>
          <w:szCs w:val="22"/>
          <w:lang w:val="es-ES"/>
        </w:rPr>
        <w:t xml:space="preserve"> para alinear las inversiones respectivas. </w:t>
      </w:r>
    </w:p>
    <w:p w:rsidR="00C90843"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sidRPr="001F4FF6">
        <w:rPr>
          <w:rFonts w:ascii="Lato" w:hAnsi="Lato"/>
          <w:color w:val="595959" w:themeColor="text1" w:themeTint="A6"/>
          <w:sz w:val="22"/>
          <w:szCs w:val="22"/>
          <w:lang w:val="es-ES"/>
        </w:rPr>
        <w:t>El 54% de los rendimientos del proyecto C</w:t>
      </w:r>
      <w:r>
        <w:rPr>
          <w:rFonts w:ascii="Lato" w:hAnsi="Lato"/>
          <w:color w:val="595959" w:themeColor="text1" w:themeTint="A6"/>
          <w:sz w:val="22"/>
          <w:szCs w:val="22"/>
          <w:lang w:val="es-ES"/>
        </w:rPr>
        <w:t>onservación de Cuencas Costeras en el Contexto de Cambio Climático (C</w:t>
      </w:r>
      <w:r w:rsidRPr="001F4FF6">
        <w:rPr>
          <w:rFonts w:ascii="Lato" w:hAnsi="Lato"/>
          <w:color w:val="595959" w:themeColor="text1" w:themeTint="A6"/>
          <w:sz w:val="22"/>
          <w:szCs w:val="22"/>
          <w:lang w:val="es-ES"/>
        </w:rPr>
        <w:t>6</w:t>
      </w:r>
      <w:r>
        <w:rPr>
          <w:rFonts w:ascii="Lato" w:hAnsi="Lato"/>
          <w:color w:val="595959" w:themeColor="text1" w:themeTint="A6"/>
          <w:sz w:val="22"/>
          <w:szCs w:val="22"/>
          <w:lang w:val="es-ES"/>
        </w:rPr>
        <w:t>, ver punto 15 de este anexo)</w:t>
      </w:r>
      <w:r w:rsidRPr="001F4FF6">
        <w:rPr>
          <w:rFonts w:ascii="Lato" w:hAnsi="Lato"/>
          <w:color w:val="595959" w:themeColor="text1" w:themeTint="A6"/>
          <w:sz w:val="22"/>
          <w:szCs w:val="22"/>
          <w:lang w:val="es-ES"/>
        </w:rPr>
        <w:t xml:space="preserve"> son canalizados a ANP. Este porcentaje incluye los costos administrativos, que en el caso de este proyecto son responsabilidad de los fondos regionales Fondo Golfo de México, A.C. y FONNOR, A.C. El monto se divide entre las diez ANP, de modo que cada POA cuenta con el mismo monto.   </w:t>
      </w:r>
    </w:p>
    <w:p w:rsidR="00C90843" w:rsidRPr="001F4FF6"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p>
    <w:p w:rsidR="00C90843" w:rsidRPr="00DD0A08" w:rsidRDefault="00C90843" w:rsidP="00C90843">
      <w:pPr>
        <w:spacing w:beforeLines="24" w:before="57" w:afterLines="24" w:after="57" w:line="288" w:lineRule="auto"/>
        <w:jc w:val="both"/>
        <w:rPr>
          <w:rFonts w:ascii="Lato" w:hAnsi="Lato"/>
          <w:b/>
          <w:color w:val="595959" w:themeColor="text1" w:themeTint="A6"/>
          <w:sz w:val="22"/>
          <w:szCs w:val="22"/>
        </w:rPr>
      </w:pPr>
      <w:r>
        <w:rPr>
          <w:rFonts w:ascii="Lato" w:hAnsi="Lato"/>
          <w:b/>
          <w:color w:val="595959" w:themeColor="text1" w:themeTint="A6"/>
          <w:sz w:val="22"/>
          <w:szCs w:val="22"/>
        </w:rPr>
        <w:t>B</w:t>
      </w:r>
      <w:r w:rsidRPr="00DD0A08">
        <w:rPr>
          <w:rFonts w:ascii="Lato" w:hAnsi="Lato"/>
          <w:b/>
          <w:color w:val="595959" w:themeColor="text1" w:themeTint="A6"/>
          <w:sz w:val="22"/>
          <w:szCs w:val="22"/>
        </w:rPr>
        <w:t>. Comunidad de Aprendizaje de Áreas Protegidas</w:t>
      </w:r>
    </w:p>
    <w:p w:rsidR="00C90843"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p>
    <w:p w:rsidR="00C90843" w:rsidRPr="001F4FF6"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sidRPr="001F4FF6">
        <w:rPr>
          <w:rFonts w:ascii="Lato" w:hAnsi="Lato"/>
          <w:color w:val="595959" w:themeColor="text1" w:themeTint="A6"/>
          <w:sz w:val="22"/>
          <w:szCs w:val="22"/>
          <w:lang w:val="es-ES"/>
        </w:rPr>
        <w:t>El objetivo de la Comunidad de Áreas Protegidas (CAAP) es fomentar el intercambio de experiencias y conocimientos e</w:t>
      </w:r>
      <w:r>
        <w:rPr>
          <w:rFonts w:ascii="Lato" w:hAnsi="Lato"/>
          <w:color w:val="595959" w:themeColor="text1" w:themeTint="A6"/>
          <w:sz w:val="22"/>
          <w:szCs w:val="22"/>
          <w:lang w:val="es-ES"/>
        </w:rPr>
        <w:t>ntre más de 300 socios del proyecto</w:t>
      </w:r>
      <w:r w:rsidRPr="001F4FF6">
        <w:rPr>
          <w:rFonts w:ascii="Lato" w:hAnsi="Lato"/>
          <w:color w:val="595959" w:themeColor="text1" w:themeTint="A6"/>
          <w:sz w:val="22"/>
          <w:szCs w:val="22"/>
          <w:lang w:val="es-ES"/>
        </w:rPr>
        <w:t xml:space="preserve">, que incluyen personal de </w:t>
      </w:r>
      <w:r>
        <w:rPr>
          <w:rFonts w:ascii="Lato" w:hAnsi="Lato"/>
          <w:color w:val="595959" w:themeColor="text1" w:themeTint="A6"/>
          <w:sz w:val="22"/>
          <w:szCs w:val="22"/>
          <w:lang w:val="es-ES"/>
        </w:rPr>
        <w:t>OLLC</w:t>
      </w:r>
      <w:r w:rsidRPr="001F4FF6">
        <w:rPr>
          <w:rFonts w:ascii="Lato" w:hAnsi="Lato"/>
          <w:color w:val="595959" w:themeColor="text1" w:themeTint="A6"/>
          <w:sz w:val="22"/>
          <w:szCs w:val="22"/>
          <w:lang w:val="es-ES"/>
        </w:rPr>
        <w:t>, Conanp (Directores</w:t>
      </w:r>
      <w:r>
        <w:rPr>
          <w:rFonts w:ascii="Lato" w:hAnsi="Lato"/>
          <w:color w:val="595959" w:themeColor="text1" w:themeTint="A6"/>
          <w:sz w:val="22"/>
          <w:szCs w:val="22"/>
          <w:lang w:val="es-ES"/>
        </w:rPr>
        <w:t xml:space="preserve"> </w:t>
      </w:r>
      <w:r w:rsidRPr="001F4FF6">
        <w:rPr>
          <w:rFonts w:ascii="Lato" w:hAnsi="Lato"/>
          <w:color w:val="595959" w:themeColor="text1" w:themeTint="A6"/>
          <w:sz w:val="22"/>
          <w:szCs w:val="22"/>
          <w:lang w:val="es-ES"/>
        </w:rPr>
        <w:t>y técnicos de ANP, Direcciones de ANP y personal técnico de Oficinas Centrales), organizaciones y empresas comunitarias sustentables.</w:t>
      </w:r>
    </w:p>
    <w:p w:rsidR="00C90843" w:rsidRPr="001F4FF6"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sidRPr="001F4FF6">
        <w:rPr>
          <w:rFonts w:ascii="Lato" w:hAnsi="Lato"/>
          <w:color w:val="595959" w:themeColor="text1" w:themeTint="A6"/>
          <w:sz w:val="22"/>
          <w:szCs w:val="22"/>
          <w:lang w:val="es-ES"/>
        </w:rPr>
        <w:lastRenderedPageBreak/>
        <w:t>La operación de la CAAP es a través de cuatro mecanismos: a) convocatorias para el financiamiento de sub-proyectos cada dos años; b) encuentros b</w:t>
      </w:r>
      <w:r>
        <w:rPr>
          <w:rFonts w:ascii="Lato" w:hAnsi="Lato"/>
          <w:color w:val="595959" w:themeColor="text1" w:themeTint="A6"/>
          <w:sz w:val="22"/>
          <w:szCs w:val="22"/>
          <w:lang w:val="es-ES"/>
        </w:rPr>
        <w:t>ienales organizados por el proyecto</w:t>
      </w:r>
      <w:r w:rsidRPr="001F4FF6">
        <w:rPr>
          <w:rFonts w:ascii="Lato" w:hAnsi="Lato"/>
          <w:color w:val="595959" w:themeColor="text1" w:themeTint="A6"/>
          <w:sz w:val="22"/>
          <w:szCs w:val="22"/>
          <w:lang w:val="es-ES"/>
        </w:rPr>
        <w:t xml:space="preserve">; c) un boletín electrónico trimestral con contribuciones de experiencias de las ANP, d) difusión de actividades e interacción en redes sociales. </w:t>
      </w:r>
    </w:p>
    <w:p w:rsidR="00C90843" w:rsidRPr="001F4FF6"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sidRPr="001F4FF6">
        <w:rPr>
          <w:rFonts w:ascii="Lato" w:hAnsi="Lato"/>
          <w:color w:val="595959" w:themeColor="text1" w:themeTint="A6"/>
          <w:sz w:val="22"/>
          <w:szCs w:val="22"/>
          <w:lang w:val="es-ES"/>
        </w:rPr>
        <w:t xml:space="preserve">Las convocatorias tienen como objetivos: 1) fortalecer las redes de conservación locales y/o regionales en ANP de carácter federal administradas por Conanp; 2) promover intercambios de experiencia para el personal de las ANP, </w:t>
      </w:r>
      <w:r>
        <w:rPr>
          <w:rFonts w:ascii="Lato" w:hAnsi="Lato"/>
          <w:color w:val="595959" w:themeColor="text1" w:themeTint="A6"/>
          <w:sz w:val="22"/>
          <w:szCs w:val="22"/>
          <w:lang w:val="es-ES"/>
        </w:rPr>
        <w:t>OLLC</w:t>
      </w:r>
      <w:r w:rsidRPr="001F4FF6">
        <w:rPr>
          <w:rFonts w:ascii="Lato" w:hAnsi="Lato"/>
          <w:color w:val="595959" w:themeColor="text1" w:themeTint="A6"/>
          <w:sz w:val="22"/>
          <w:szCs w:val="22"/>
          <w:lang w:val="es-ES"/>
        </w:rPr>
        <w:t xml:space="preserve"> y comunidades involucradas en la conservación de una o más ANP; y 3) fortalecer la coordinación y comunicación efectiva para la resolución de conflictos del personal de las ANP, </w:t>
      </w:r>
      <w:r>
        <w:rPr>
          <w:rFonts w:ascii="Lato" w:hAnsi="Lato"/>
          <w:color w:val="595959" w:themeColor="text1" w:themeTint="A6"/>
          <w:sz w:val="22"/>
          <w:szCs w:val="22"/>
          <w:lang w:val="es-ES"/>
        </w:rPr>
        <w:t>OLLC</w:t>
      </w:r>
      <w:r w:rsidRPr="001F4FF6">
        <w:rPr>
          <w:rFonts w:ascii="Lato" w:hAnsi="Lato"/>
          <w:color w:val="595959" w:themeColor="text1" w:themeTint="A6"/>
          <w:sz w:val="22"/>
          <w:szCs w:val="22"/>
          <w:lang w:val="es-ES"/>
        </w:rPr>
        <w:t xml:space="preserve"> y comunidades involucradas en la conservación de una o más ANP.</w:t>
      </w:r>
    </w:p>
    <w:p w:rsidR="00C90843"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sidRPr="001F4FF6">
        <w:rPr>
          <w:rFonts w:ascii="Lato" w:hAnsi="Lato"/>
          <w:color w:val="595959" w:themeColor="text1" w:themeTint="A6"/>
          <w:sz w:val="22"/>
          <w:szCs w:val="22"/>
          <w:lang w:val="es-ES"/>
        </w:rPr>
        <w:t>El Encuentro de la CAAP reúne a miembros activos (aquellos involucrados en sub-proyectos con financiamiento de FMCN vigentes) cada dos años, en alguna de las ANP que recibe financiamiento a través del mecanismo del FANP. Durante el encuentro se intercambia información y experiencias entre los socios para fortalecer el manejo y conservación de las ANP. Los Encuentros CAAP se realizan dependiendo de la suficiencia presupuestaria.</w:t>
      </w:r>
    </w:p>
    <w:p w:rsidR="00C90843"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p>
    <w:p w:rsidR="00C90843" w:rsidRPr="001F4FF6"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p>
    <w:p w:rsidR="00C90843" w:rsidRPr="00DD0A08" w:rsidRDefault="00C90843" w:rsidP="00C90843">
      <w:pPr>
        <w:spacing w:beforeLines="24" w:before="57" w:afterLines="24" w:after="57" w:line="288" w:lineRule="auto"/>
        <w:jc w:val="both"/>
        <w:rPr>
          <w:rFonts w:ascii="Lato" w:hAnsi="Lato"/>
          <w:b/>
          <w:color w:val="595959" w:themeColor="text1" w:themeTint="A6"/>
          <w:sz w:val="22"/>
          <w:szCs w:val="22"/>
        </w:rPr>
      </w:pPr>
      <w:r>
        <w:rPr>
          <w:rFonts w:ascii="Lato" w:hAnsi="Lato"/>
          <w:b/>
          <w:color w:val="595959" w:themeColor="text1" w:themeTint="A6"/>
          <w:sz w:val="22"/>
          <w:szCs w:val="22"/>
        </w:rPr>
        <w:t>C</w:t>
      </w:r>
      <w:r w:rsidRPr="00DD0A08">
        <w:rPr>
          <w:rFonts w:ascii="Lato" w:hAnsi="Lato"/>
          <w:b/>
          <w:color w:val="595959" w:themeColor="text1" w:themeTint="A6"/>
          <w:sz w:val="22"/>
          <w:szCs w:val="22"/>
        </w:rPr>
        <w:t>. Convocatorias de sub-proyectos FANP</w:t>
      </w:r>
    </w:p>
    <w:p w:rsidR="00C90843"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p>
    <w:p w:rsidR="00C90843"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sidRPr="001F4FF6">
        <w:rPr>
          <w:rFonts w:ascii="Lato" w:hAnsi="Lato"/>
          <w:color w:val="595959" w:themeColor="text1" w:themeTint="A6"/>
          <w:sz w:val="22"/>
          <w:szCs w:val="22"/>
          <w:lang w:val="es-ES"/>
        </w:rPr>
        <w:t>El mecanismo de selección para sub-proyectos es una convocatoria abierta, en la cual se incluyen los temas propuestos por las direcciones de Conanp y aprobados por el CTFANP. La convocatoria se difunde a través de la página de internet de FMCN (http://www.fmcn.org) por un periodo de entre tres y cinco semanas. Los procedimientos de estas convocatorias son los descritos en el Manual de Operaciones de FMCN.</w:t>
      </w:r>
      <w:bookmarkStart w:id="10" w:name="_Toc61884153"/>
    </w:p>
    <w:p w:rsidR="00C90843"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p>
    <w:p w:rsidR="00C90843" w:rsidRPr="0016346C" w:rsidRDefault="00C90843" w:rsidP="00C90843">
      <w:pPr>
        <w:pStyle w:val="Ttulo1"/>
        <w:spacing w:beforeLines="24" w:before="57" w:afterLines="24" w:after="57" w:line="288" w:lineRule="auto"/>
        <w:jc w:val="both"/>
        <w:rPr>
          <w:rFonts w:ascii="Lato" w:hAnsi="Lato"/>
          <w:color w:val="595959" w:themeColor="text1" w:themeTint="A6"/>
          <w:sz w:val="22"/>
          <w:szCs w:val="22"/>
          <w:lang w:val="es-ES"/>
        </w:rPr>
      </w:pPr>
      <w:bookmarkStart w:id="11" w:name="_Toc95218409"/>
      <w:bookmarkStart w:id="12" w:name="_Toc159420255"/>
      <w:r>
        <w:rPr>
          <w:rFonts w:ascii="Lato" w:hAnsi="Lato"/>
          <w:color w:val="595959" w:themeColor="text1" w:themeTint="A6"/>
          <w:sz w:val="22"/>
          <w:szCs w:val="22"/>
          <w:lang w:val="es-ES"/>
        </w:rPr>
        <w:t>A1.</w:t>
      </w:r>
      <w:r w:rsidRPr="001D3E98">
        <w:rPr>
          <w:rFonts w:ascii="Lato" w:hAnsi="Lato"/>
          <w:color w:val="595959" w:themeColor="text1" w:themeTint="A6"/>
          <w:sz w:val="22"/>
          <w:szCs w:val="22"/>
          <w:lang w:val="es-ES"/>
        </w:rPr>
        <w:t>2. Fondo de Conservación Calakmul</w:t>
      </w:r>
      <w:bookmarkEnd w:id="10"/>
      <w:bookmarkEnd w:id="11"/>
      <w:bookmarkEnd w:id="12"/>
    </w:p>
    <w:p w:rsidR="00C90843" w:rsidRPr="001F4FF6"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sidRPr="72805BE4">
        <w:rPr>
          <w:rFonts w:ascii="Lato" w:hAnsi="Lato"/>
          <w:color w:val="595959" w:themeColor="text1" w:themeTint="A6"/>
          <w:sz w:val="22"/>
          <w:szCs w:val="22"/>
          <w:lang w:val="es-ES"/>
        </w:rPr>
        <w:t xml:space="preserve">En junio de 2015, FMCN firmó con la organización </w:t>
      </w:r>
      <w:r w:rsidRPr="72805BE4">
        <w:rPr>
          <w:rFonts w:ascii="Lato" w:hAnsi="Lato"/>
          <w:i/>
          <w:iCs/>
          <w:color w:val="595959" w:themeColor="text1" w:themeTint="A6"/>
          <w:sz w:val="22"/>
          <w:szCs w:val="22"/>
          <w:lang w:val="es-ES"/>
        </w:rPr>
        <w:t>Conservation International</w:t>
      </w:r>
      <w:r w:rsidRPr="72805BE4">
        <w:rPr>
          <w:rFonts w:ascii="Lato" w:hAnsi="Lato"/>
          <w:color w:val="595959" w:themeColor="text1" w:themeTint="A6"/>
          <w:sz w:val="22"/>
          <w:szCs w:val="22"/>
          <w:lang w:val="es-ES"/>
        </w:rPr>
        <w:t xml:space="preserve">, a través de su Fondo para la Conservación Global, un convenio para establecer el Fondo de Conservación Calakmul (FCC). Los intereses anuales que resultan del manejo financiero de este fondo patrimonial apoyan el pago por servicios ambientales a dos ejidos de la RB Calakmul: Yohaltún y Pustunich.  </w:t>
      </w:r>
    </w:p>
    <w:p w:rsidR="00C90843" w:rsidRPr="001F4FF6"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sidRPr="001F4FF6">
        <w:rPr>
          <w:rFonts w:ascii="Lato" w:hAnsi="Lato"/>
          <w:color w:val="595959" w:themeColor="text1" w:themeTint="A6"/>
          <w:sz w:val="22"/>
          <w:szCs w:val="22"/>
          <w:lang w:val="es-ES"/>
        </w:rPr>
        <w:lastRenderedPageBreak/>
        <w:t xml:space="preserve">El objetivo de FCC es garantizar el mantenimiento, protección y enriquecimiento de la biodiversidad dentro de la zona de amortiguamiento de la RB Calakmul, a través del pago por servicios ambientales a ejidos de la región.  </w:t>
      </w:r>
    </w:p>
    <w:p w:rsidR="00C90843"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sidRPr="001F4FF6">
        <w:rPr>
          <w:rFonts w:ascii="Lato" w:hAnsi="Lato"/>
          <w:color w:val="595959" w:themeColor="text1" w:themeTint="A6"/>
          <w:sz w:val="22"/>
          <w:szCs w:val="22"/>
          <w:lang w:val="es-ES"/>
        </w:rPr>
        <w:t>FMCN realiza el pago a los ejidos a través del Fondo Forestal Mexicano, mediante una colaboración con la</w:t>
      </w:r>
      <w:r>
        <w:rPr>
          <w:rFonts w:ascii="Lato" w:hAnsi="Lato"/>
          <w:color w:val="595959" w:themeColor="text1" w:themeTint="A6"/>
          <w:sz w:val="22"/>
          <w:szCs w:val="22"/>
          <w:lang w:val="es-ES"/>
        </w:rPr>
        <w:t xml:space="preserve"> </w:t>
      </w:r>
      <w:r w:rsidRPr="001F4FF6">
        <w:rPr>
          <w:rFonts w:ascii="Lato" w:hAnsi="Lato"/>
          <w:color w:val="595959" w:themeColor="text1" w:themeTint="A6"/>
          <w:sz w:val="22"/>
          <w:szCs w:val="22"/>
          <w:lang w:val="es-ES"/>
        </w:rPr>
        <w:t xml:space="preserve">Comisión Nacional Forestal </w:t>
      </w:r>
      <w:r>
        <w:rPr>
          <w:rFonts w:ascii="Lato" w:hAnsi="Lato"/>
          <w:color w:val="595959" w:themeColor="text1" w:themeTint="A6"/>
          <w:sz w:val="22"/>
          <w:szCs w:val="22"/>
          <w:lang w:val="es-ES"/>
        </w:rPr>
        <w:t>(</w:t>
      </w:r>
      <w:r w:rsidRPr="001F4FF6">
        <w:rPr>
          <w:rFonts w:ascii="Lato" w:hAnsi="Lato"/>
          <w:color w:val="595959" w:themeColor="text1" w:themeTint="A6"/>
          <w:sz w:val="22"/>
          <w:szCs w:val="22"/>
          <w:lang w:val="es-ES"/>
        </w:rPr>
        <w:t>Conafor</w:t>
      </w:r>
      <w:r>
        <w:rPr>
          <w:rFonts w:ascii="Lato" w:hAnsi="Lato"/>
          <w:color w:val="595959" w:themeColor="text1" w:themeTint="A6"/>
          <w:sz w:val="22"/>
          <w:szCs w:val="22"/>
          <w:lang w:val="es-ES"/>
        </w:rPr>
        <w:t>)</w:t>
      </w:r>
      <w:r w:rsidRPr="001F4FF6">
        <w:rPr>
          <w:rFonts w:ascii="Lato" w:hAnsi="Lato"/>
          <w:color w:val="595959" w:themeColor="text1" w:themeTint="A6"/>
          <w:sz w:val="22"/>
          <w:szCs w:val="22"/>
          <w:lang w:val="es-ES"/>
        </w:rPr>
        <w:t xml:space="preserve"> y la </w:t>
      </w:r>
      <w:r>
        <w:rPr>
          <w:rFonts w:ascii="Lato" w:hAnsi="Lato"/>
          <w:color w:val="595959" w:themeColor="text1" w:themeTint="A6"/>
          <w:sz w:val="22"/>
          <w:szCs w:val="22"/>
          <w:lang w:val="es-ES"/>
        </w:rPr>
        <w:t>OLLC</w:t>
      </w:r>
      <w:r w:rsidRPr="001F4FF6">
        <w:rPr>
          <w:rFonts w:ascii="Lato" w:hAnsi="Lato"/>
          <w:color w:val="595959" w:themeColor="text1" w:themeTint="A6"/>
          <w:sz w:val="22"/>
          <w:szCs w:val="22"/>
          <w:lang w:val="es-ES"/>
        </w:rPr>
        <w:t xml:space="preserve"> Amigos de Calakmul, A.C. </w:t>
      </w:r>
      <w:r>
        <w:rPr>
          <w:rFonts w:ascii="Lato" w:hAnsi="Lato"/>
          <w:color w:val="595959" w:themeColor="text1" w:themeTint="A6"/>
          <w:sz w:val="22"/>
          <w:szCs w:val="22"/>
          <w:lang w:val="es-ES"/>
        </w:rPr>
        <w:t>ésta última</w:t>
      </w:r>
      <w:r w:rsidRPr="001F4FF6">
        <w:rPr>
          <w:rFonts w:ascii="Lato" w:hAnsi="Lato"/>
          <w:color w:val="595959" w:themeColor="text1" w:themeTint="A6"/>
          <w:sz w:val="22"/>
          <w:szCs w:val="22"/>
          <w:lang w:val="es-ES"/>
        </w:rPr>
        <w:t xml:space="preserve"> realiza el monitoreo de la cobertura forestal que asegura la conservación de los bosques.</w:t>
      </w:r>
    </w:p>
    <w:p w:rsidR="00C90843" w:rsidRPr="001F4FF6"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p>
    <w:p w:rsidR="00C90843" w:rsidRDefault="00C90843" w:rsidP="00C90843">
      <w:pPr>
        <w:pStyle w:val="Ttulo1"/>
        <w:spacing w:beforeLines="24" w:before="57" w:afterLines="24" w:after="57" w:line="288" w:lineRule="auto"/>
        <w:jc w:val="both"/>
        <w:rPr>
          <w:rFonts w:ascii="Lato" w:hAnsi="Lato"/>
          <w:color w:val="595959" w:themeColor="text1" w:themeTint="A6"/>
          <w:sz w:val="22"/>
          <w:szCs w:val="22"/>
          <w:lang w:val="es-ES"/>
        </w:rPr>
      </w:pPr>
      <w:bookmarkStart w:id="13" w:name="_Toc61884152"/>
      <w:bookmarkStart w:id="14" w:name="_Toc95218410"/>
      <w:bookmarkStart w:id="15" w:name="_Toc159420256"/>
      <w:r>
        <w:rPr>
          <w:rFonts w:ascii="Lato" w:hAnsi="Lato"/>
          <w:color w:val="595959" w:themeColor="text1" w:themeTint="A6"/>
          <w:sz w:val="22"/>
          <w:szCs w:val="22"/>
          <w:lang w:val="es-ES"/>
        </w:rPr>
        <w:t>A1.</w:t>
      </w:r>
      <w:r w:rsidRPr="001D3E98">
        <w:rPr>
          <w:rFonts w:ascii="Lato" w:hAnsi="Lato"/>
          <w:color w:val="595959" w:themeColor="text1" w:themeTint="A6"/>
          <w:sz w:val="22"/>
          <w:szCs w:val="22"/>
          <w:lang w:val="es-ES"/>
        </w:rPr>
        <w:t>3. Fondo de Conservación de Especies en Riesgo</w:t>
      </w:r>
      <w:bookmarkEnd w:id="13"/>
      <w:bookmarkEnd w:id="14"/>
      <w:bookmarkEnd w:id="15"/>
    </w:p>
    <w:p w:rsidR="00C90843" w:rsidRPr="008D28BA" w:rsidRDefault="00C90843" w:rsidP="00C90843">
      <w:pPr>
        <w:rPr>
          <w:lang w:val="es-ES"/>
        </w:rPr>
      </w:pPr>
    </w:p>
    <w:p w:rsidR="00C90843" w:rsidRPr="001F4FF6"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sidRPr="001F4FF6">
        <w:rPr>
          <w:rFonts w:ascii="Lato" w:hAnsi="Lato"/>
          <w:color w:val="595959" w:themeColor="text1" w:themeTint="A6"/>
          <w:sz w:val="22"/>
          <w:szCs w:val="22"/>
          <w:lang w:val="es-ES"/>
        </w:rPr>
        <w:t xml:space="preserve">En octubre de 2015, Conanp, el Programa de las Naciones Unidas para el Desarrollo y el Gobierno de México </w:t>
      </w:r>
      <w:r>
        <w:rPr>
          <w:rFonts w:ascii="Lato" w:hAnsi="Lato"/>
          <w:color w:val="595959" w:themeColor="text1" w:themeTint="A6"/>
          <w:sz w:val="22"/>
          <w:szCs w:val="22"/>
          <w:lang w:val="es-ES"/>
        </w:rPr>
        <w:t>(</w:t>
      </w:r>
      <w:r w:rsidRPr="001F4FF6">
        <w:rPr>
          <w:rFonts w:ascii="Lato" w:hAnsi="Lato"/>
          <w:color w:val="595959" w:themeColor="text1" w:themeTint="A6"/>
          <w:sz w:val="22"/>
          <w:szCs w:val="22"/>
          <w:lang w:val="es-ES"/>
        </w:rPr>
        <w:t>GOM</w:t>
      </w:r>
      <w:r>
        <w:rPr>
          <w:rFonts w:ascii="Lato" w:hAnsi="Lato"/>
          <w:color w:val="595959" w:themeColor="text1" w:themeTint="A6"/>
          <w:sz w:val="22"/>
          <w:szCs w:val="22"/>
          <w:lang w:val="es-ES"/>
        </w:rPr>
        <w:t>)</w:t>
      </w:r>
      <w:r w:rsidRPr="001F4FF6">
        <w:rPr>
          <w:rFonts w:ascii="Lato" w:hAnsi="Lato"/>
          <w:color w:val="595959" w:themeColor="text1" w:themeTint="A6"/>
          <w:sz w:val="22"/>
          <w:szCs w:val="22"/>
          <w:lang w:val="es-ES"/>
        </w:rPr>
        <w:t xml:space="preserve"> firmaron el Documento del proyecto “Fortalecimiento del manejo del Sistema de Áreas Protegidas para mejorar la conservación de especies en riesgo y sus hábitats” (proyecto Especies en Riesgo) enfocado en la conservación de 14 especies en peligro crítico de extinción del país dentro y alrededor de 21 ANP.  Su objetivo es aumentar la efectividad de las ANP en México a través de un enfoque de ecosistemas y paisajes, la participación de las comunidades locales y la sustentabilidad financiera.</w:t>
      </w:r>
    </w:p>
    <w:p w:rsidR="00C90843" w:rsidRPr="001F4FF6"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sidRPr="001F4FF6">
        <w:rPr>
          <w:rFonts w:ascii="Lato" w:hAnsi="Lato"/>
          <w:color w:val="595959" w:themeColor="text1" w:themeTint="A6"/>
          <w:sz w:val="22"/>
          <w:szCs w:val="22"/>
          <w:lang w:val="es-ES"/>
        </w:rPr>
        <w:t xml:space="preserve">El proyecto Especies en Riesgo tuvo un presupuesto dividido en recursos extinguibles y patrimoniales. El proyecto con recursos extinguibles cerró en diciembre de 2020 y los recursos patrimoniales son el capital del Fondo de Conservación de Especies en Riesgo (FONCER). </w:t>
      </w:r>
    </w:p>
    <w:p w:rsidR="00C90843" w:rsidRPr="001F4FF6"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sidRPr="001F4FF6">
        <w:rPr>
          <w:rFonts w:ascii="Lato" w:hAnsi="Lato"/>
          <w:color w:val="595959" w:themeColor="text1" w:themeTint="A6"/>
          <w:sz w:val="22"/>
          <w:szCs w:val="22"/>
          <w:lang w:val="es-ES"/>
        </w:rPr>
        <w:t>El FONCER es un mecanismo financiero de largo plazo y bajo el marco general administrativo y de gobernanza del FANP. FMCN es el responsable del manejo financiero de los recursos patrimoniales y es Secretario Técnico de la Comisión Especies, órgano de gobernanza del FONCER que reporta al CTFANP (ver Figura 3) aprovechando la experiencia de más de 23 años de este órgano. La alineación del financiamiento del FONCER y del FANP para la conservación de las especies en riesgo potencia el impacto de las inversiones en campo. Los intereses del FONCER están dirigidos a las especies en riesgo a través del mecanismo</w:t>
      </w:r>
      <w:r>
        <w:rPr>
          <w:rFonts w:ascii="Lato" w:hAnsi="Lato"/>
          <w:color w:val="595959" w:themeColor="text1" w:themeTint="A6"/>
          <w:sz w:val="22"/>
          <w:szCs w:val="22"/>
          <w:lang w:val="es-ES"/>
        </w:rPr>
        <w:t xml:space="preserve"> (POA o sub-proyecto) que define la Comisión Especies y</w:t>
      </w:r>
      <w:r w:rsidRPr="001F4FF6">
        <w:rPr>
          <w:rFonts w:ascii="Lato" w:hAnsi="Lato"/>
          <w:color w:val="595959" w:themeColor="text1" w:themeTint="A6"/>
          <w:sz w:val="22"/>
          <w:szCs w:val="22"/>
          <w:lang w:val="es-ES"/>
        </w:rPr>
        <w:t xml:space="preserve"> </w:t>
      </w:r>
      <w:r>
        <w:rPr>
          <w:rFonts w:ascii="Lato" w:hAnsi="Lato"/>
          <w:color w:val="595959" w:themeColor="text1" w:themeTint="A6"/>
          <w:sz w:val="22"/>
          <w:szCs w:val="22"/>
          <w:lang w:val="es-ES"/>
        </w:rPr>
        <w:t>d</w:t>
      </w:r>
      <w:r w:rsidRPr="001F4FF6">
        <w:rPr>
          <w:rFonts w:ascii="Lato" w:hAnsi="Lato"/>
          <w:color w:val="595959" w:themeColor="text1" w:themeTint="A6"/>
          <w:sz w:val="22"/>
          <w:szCs w:val="22"/>
          <w:lang w:val="es-ES"/>
        </w:rPr>
        <w:t>el CTFANP de manera bianual.</w:t>
      </w:r>
    </w:p>
    <w:p w:rsidR="00C90843" w:rsidRPr="001F4FF6" w:rsidRDefault="00C90843" w:rsidP="00C90843">
      <w:pPr>
        <w:keepLines/>
        <w:spacing w:beforeLines="120" w:before="288" w:afterLines="120" w:after="288" w:line="288" w:lineRule="auto"/>
        <w:jc w:val="center"/>
        <w:rPr>
          <w:rFonts w:ascii="Lato" w:hAnsi="Lato"/>
          <w:color w:val="595959" w:themeColor="text1" w:themeTint="A6"/>
          <w:sz w:val="22"/>
          <w:szCs w:val="22"/>
          <w:lang w:val="es-ES"/>
        </w:rPr>
      </w:pPr>
      <w:r w:rsidRPr="00E841B9">
        <w:rPr>
          <w:rFonts w:ascii="Lato" w:hAnsi="Lato"/>
          <w:noProof/>
          <w:color w:val="595959" w:themeColor="text1" w:themeTint="A6"/>
          <w:sz w:val="22"/>
          <w:szCs w:val="22"/>
          <w:lang w:eastAsia="es-MX"/>
        </w:rPr>
        <w:lastRenderedPageBreak/>
        <w:drawing>
          <wp:inline distT="0" distB="0" distL="0" distR="0" wp14:anchorId="672EF6E6" wp14:editId="0FC2BC36">
            <wp:extent cx="2818151" cy="1956129"/>
            <wp:effectExtent l="0" t="0" r="127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864974" cy="1988629"/>
                    </a:xfrm>
                    <a:prstGeom prst="rect">
                      <a:avLst/>
                    </a:prstGeom>
                  </pic:spPr>
                </pic:pic>
              </a:graphicData>
            </a:graphic>
          </wp:inline>
        </w:drawing>
      </w:r>
    </w:p>
    <w:p w:rsidR="00C90843" w:rsidRPr="00E841B9" w:rsidRDefault="00C90843" w:rsidP="00C90843">
      <w:pPr>
        <w:keepLines/>
        <w:spacing w:beforeLines="120" w:before="288" w:afterLines="120" w:after="288" w:line="288" w:lineRule="auto"/>
        <w:jc w:val="center"/>
        <w:rPr>
          <w:rFonts w:ascii="Lato" w:hAnsi="Lato"/>
          <w:color w:val="595959" w:themeColor="text1" w:themeTint="A6"/>
          <w:sz w:val="22"/>
          <w:szCs w:val="22"/>
          <w:lang w:val="es-ES"/>
        </w:rPr>
      </w:pPr>
      <w:r w:rsidRPr="001F4FF6">
        <w:rPr>
          <w:rFonts w:ascii="Lato" w:hAnsi="Lato"/>
          <w:b/>
          <w:bCs/>
          <w:color w:val="595959" w:themeColor="text1" w:themeTint="A6"/>
          <w:sz w:val="22"/>
          <w:szCs w:val="22"/>
          <w:lang w:val="es-ES"/>
        </w:rPr>
        <w:t>Figura 3.</w:t>
      </w:r>
      <w:r w:rsidRPr="001F4FF6">
        <w:rPr>
          <w:rFonts w:ascii="Lato" w:hAnsi="Lato"/>
          <w:color w:val="595959" w:themeColor="text1" w:themeTint="A6"/>
          <w:sz w:val="22"/>
          <w:szCs w:val="22"/>
          <w:lang w:val="es-ES"/>
        </w:rPr>
        <w:t xml:space="preserve"> Estructura </w:t>
      </w:r>
      <w:r>
        <w:rPr>
          <w:rFonts w:ascii="Lato" w:hAnsi="Lato"/>
          <w:color w:val="595959" w:themeColor="text1" w:themeTint="A6"/>
          <w:sz w:val="22"/>
          <w:szCs w:val="22"/>
          <w:lang w:val="es-ES"/>
        </w:rPr>
        <w:t xml:space="preserve">de </w:t>
      </w:r>
      <w:r w:rsidRPr="001F4FF6">
        <w:rPr>
          <w:rFonts w:ascii="Lato" w:hAnsi="Lato"/>
          <w:color w:val="595959" w:themeColor="text1" w:themeTint="A6"/>
          <w:sz w:val="22"/>
          <w:szCs w:val="22"/>
          <w:lang w:val="es-ES"/>
        </w:rPr>
        <w:t>gobernanza del FONCER.</w:t>
      </w:r>
    </w:p>
    <w:p w:rsidR="00C90843" w:rsidRPr="003C2B8C" w:rsidRDefault="00C90843" w:rsidP="00C90843">
      <w:pPr>
        <w:pStyle w:val="Ttulo1"/>
        <w:rPr>
          <w:rFonts w:ascii="Lato" w:hAnsi="Lato"/>
          <w:b w:val="0"/>
          <w:color w:val="595959" w:themeColor="text1" w:themeTint="A6"/>
          <w:sz w:val="22"/>
          <w:szCs w:val="22"/>
        </w:rPr>
      </w:pPr>
      <w:bookmarkStart w:id="16" w:name="_Toc61884151"/>
      <w:bookmarkStart w:id="17" w:name="_Toc95218411"/>
      <w:bookmarkStart w:id="18" w:name="_Toc159420257"/>
      <w:r>
        <w:rPr>
          <w:rFonts w:ascii="Lato" w:hAnsi="Lato"/>
          <w:color w:val="595959" w:themeColor="text1" w:themeTint="A6"/>
          <w:sz w:val="22"/>
          <w:szCs w:val="22"/>
          <w:lang w:val="es-ES"/>
        </w:rPr>
        <w:t>A1.</w:t>
      </w:r>
      <w:r w:rsidRPr="001D3E98">
        <w:rPr>
          <w:rFonts w:ascii="Lato" w:hAnsi="Lato"/>
          <w:color w:val="595959" w:themeColor="text1" w:themeTint="A6"/>
          <w:sz w:val="22"/>
          <w:szCs w:val="22"/>
          <w:lang w:val="es-ES"/>
        </w:rPr>
        <w:t>4. Conservación de la Biodiversidad en la Sierra Madre Oriental y el Golfo de México</w:t>
      </w:r>
      <w:bookmarkEnd w:id="16"/>
      <w:bookmarkEnd w:id="17"/>
      <w:bookmarkEnd w:id="18"/>
      <w:r w:rsidRPr="001D3E98">
        <w:rPr>
          <w:rFonts w:ascii="Lato" w:hAnsi="Lato"/>
          <w:color w:val="595959" w:themeColor="text1" w:themeTint="A6"/>
          <w:sz w:val="22"/>
          <w:szCs w:val="22"/>
          <w:lang w:val="es-ES"/>
        </w:rPr>
        <w:t xml:space="preserve"> </w:t>
      </w:r>
    </w:p>
    <w:p w:rsidR="00C90843" w:rsidRPr="001F4FF6" w:rsidRDefault="00C90843" w:rsidP="00C90843">
      <w:pPr>
        <w:keepLines/>
        <w:spacing w:beforeLines="120" w:before="288" w:afterLines="120" w:after="288" w:line="288" w:lineRule="auto"/>
        <w:jc w:val="both"/>
        <w:rPr>
          <w:rFonts w:ascii="Lato" w:hAnsi="Lato"/>
          <w:color w:val="595959" w:themeColor="text1" w:themeTint="A6"/>
          <w:sz w:val="22"/>
          <w:szCs w:val="22"/>
          <w:lang w:val="es-ES"/>
        </w:rPr>
      </w:pPr>
      <w:r w:rsidRPr="001F4FF6">
        <w:rPr>
          <w:rFonts w:ascii="Lato" w:hAnsi="Lato"/>
          <w:color w:val="595959" w:themeColor="text1" w:themeTint="A6"/>
          <w:sz w:val="22"/>
          <w:szCs w:val="22"/>
          <w:lang w:val="es-ES"/>
        </w:rPr>
        <w:t>Como resultado de las negociaciones intergubernamentales sobre la Cooperación para el Desarrollo Sustentable, Medio Ambiente y Cambio Climático entre el GOM y el Gobierno de la República Federal de Alemania llevadas a cabo en noviembre de 2011, ambos gobiernos coincidieron en la implementación del proyecto Conservación de la Biodiversidad en la Sierra Madre Oriental y el Golfo de México (Sierra y Mar) con el objetivo de mejorar la conservación de las regiones Noreste y Sierra Madre Oriental; Planicie Costera y Golfo de México; Centro y Eje Neovolcánico, para cuya implementación el gobierno alemán asignó un patrimonio.</w:t>
      </w:r>
    </w:p>
    <w:p w:rsidR="00C90843" w:rsidRPr="001F4FF6" w:rsidRDefault="00C90843" w:rsidP="00C90843">
      <w:pPr>
        <w:keepLines/>
        <w:spacing w:beforeLines="120" w:before="288" w:afterLines="120" w:after="288" w:line="288" w:lineRule="auto"/>
        <w:jc w:val="both"/>
        <w:rPr>
          <w:rFonts w:ascii="Lato" w:hAnsi="Lato"/>
          <w:color w:val="595959" w:themeColor="text1" w:themeTint="A6"/>
          <w:sz w:val="22"/>
          <w:szCs w:val="22"/>
          <w:lang w:val="es-ES"/>
        </w:rPr>
      </w:pPr>
      <w:r w:rsidRPr="001F4FF6">
        <w:rPr>
          <w:rFonts w:ascii="Lato" w:hAnsi="Lato"/>
          <w:color w:val="595959" w:themeColor="text1" w:themeTint="A6"/>
          <w:sz w:val="22"/>
          <w:szCs w:val="22"/>
          <w:lang w:val="es-ES"/>
        </w:rPr>
        <w:t xml:space="preserve">Como parte del proyecto, FMCN recibió en 2017 el primer donativo del Gobierno de Alemania a México a través del </w:t>
      </w:r>
      <w:r w:rsidRPr="00E92540">
        <w:rPr>
          <w:rFonts w:ascii="Lato" w:hAnsi="Lato"/>
          <w:color w:val="595959" w:themeColor="text1" w:themeTint="A6"/>
          <w:sz w:val="22"/>
          <w:szCs w:val="22"/>
          <w:lang w:val="es-ES"/>
        </w:rPr>
        <w:t>banco alemán de desarrollo, KfW</w:t>
      </w:r>
      <w:r w:rsidRPr="001F4FF6">
        <w:rPr>
          <w:rFonts w:ascii="Lato" w:hAnsi="Lato"/>
          <w:color w:val="595959" w:themeColor="text1" w:themeTint="A6"/>
          <w:sz w:val="22"/>
          <w:szCs w:val="22"/>
          <w:lang w:val="es-ES"/>
        </w:rPr>
        <w:t>. La otra parte de este donativo consistía en recursos extinguibles, a ser depositados en el Fondo de Cambio Climático (FCC) en Nacional Financiera. Su objetivo era financiar la infraestructura y equipo de las ANP prioritarias en la Sierra Madre Oriental. Tras los esfuerzos para el fortalecimiento y arranque de la operación del FCC, éste no logró avanzar en el cumplimiento de los requisitos de KfW para asegurar el depósito correspondiente.</w:t>
      </w:r>
    </w:p>
    <w:p w:rsidR="00C90843" w:rsidRPr="001F4FF6" w:rsidRDefault="00C90843" w:rsidP="00C90843">
      <w:pPr>
        <w:keepLines/>
        <w:spacing w:beforeLines="120" w:before="288" w:afterLines="120" w:after="288" w:line="288" w:lineRule="auto"/>
        <w:jc w:val="both"/>
        <w:rPr>
          <w:rFonts w:ascii="Lato" w:hAnsi="Lato"/>
          <w:color w:val="595959" w:themeColor="text1" w:themeTint="A6"/>
          <w:sz w:val="22"/>
          <w:szCs w:val="22"/>
          <w:lang w:val="es-ES"/>
        </w:rPr>
      </w:pPr>
      <w:r w:rsidRPr="001F4FF6">
        <w:rPr>
          <w:rFonts w:ascii="Lato" w:hAnsi="Lato"/>
          <w:color w:val="595959" w:themeColor="text1" w:themeTint="A6"/>
          <w:sz w:val="22"/>
          <w:szCs w:val="22"/>
          <w:lang w:val="es-ES"/>
        </w:rPr>
        <w:lastRenderedPageBreak/>
        <w:t>En inicios de 2018, ante el cierre de la administración federal, el GOM a través de la Secretaría de Medio Ambiente y Recursos Naturales (</w:t>
      </w:r>
      <w:r w:rsidRPr="00391C24">
        <w:rPr>
          <w:rFonts w:ascii="Lato" w:hAnsi="Lato"/>
          <w:color w:val="595959" w:themeColor="text1" w:themeTint="A6"/>
          <w:sz w:val="22"/>
          <w:szCs w:val="22"/>
          <w:lang w:val="es-ES"/>
        </w:rPr>
        <w:t>Semarnat</w:t>
      </w:r>
      <w:r w:rsidRPr="001F4FF6">
        <w:rPr>
          <w:rFonts w:ascii="Lato" w:hAnsi="Lato"/>
          <w:color w:val="595959" w:themeColor="text1" w:themeTint="A6"/>
          <w:sz w:val="22"/>
          <w:szCs w:val="22"/>
          <w:lang w:val="es-ES"/>
        </w:rPr>
        <w:t xml:space="preserve">) y la Conanp en consultas con Secretaría de Hacienda y Crédito Público, propuso un cambio de la estructura para la implementación del proyecto.  En mayo de 2018, KfW realizó una misión para explorar la viabilidad de depositar los recursos extinguibles como recursos patrimoniales bajo el esquema del FANP, acordando que FMCN sería el custodio de este capital. </w:t>
      </w:r>
    </w:p>
    <w:p w:rsidR="00C90843" w:rsidRPr="001F4FF6" w:rsidRDefault="00C90843" w:rsidP="00C90843">
      <w:pPr>
        <w:keepLines/>
        <w:spacing w:beforeLines="120" w:before="288" w:afterLines="120" w:after="288" w:line="288" w:lineRule="auto"/>
        <w:jc w:val="both"/>
        <w:rPr>
          <w:rFonts w:ascii="Lato" w:hAnsi="Lato"/>
          <w:color w:val="595959" w:themeColor="text1" w:themeTint="A6"/>
          <w:sz w:val="22"/>
          <w:szCs w:val="22"/>
          <w:lang w:val="es-ES"/>
        </w:rPr>
      </w:pPr>
      <w:r w:rsidRPr="001F4FF6">
        <w:rPr>
          <w:rFonts w:ascii="Lato" w:hAnsi="Lato"/>
          <w:color w:val="595959" w:themeColor="text1" w:themeTint="A6"/>
          <w:sz w:val="22"/>
          <w:szCs w:val="22"/>
          <w:lang w:val="es-ES"/>
        </w:rPr>
        <w:t xml:space="preserve">El capital aportado por KfW aseguró la contraparte del proyecto C6, lo que permitió a KfW y BM coordinar sus inversiones en México. Los intereses de KfW cubren principalmente la adquisición de bienes muebles e inmuebles en 14 ANP incluidas en el proyecto Sierra y Mar, mientras que los intereses de las aportaciones del BM, tanto pasadas como futuras, cubren el gasto corriente (Figura 2). </w:t>
      </w:r>
    </w:p>
    <w:p w:rsidR="00C90843" w:rsidRPr="001F4FF6" w:rsidRDefault="00C90843" w:rsidP="00C90843">
      <w:pPr>
        <w:keepLines/>
        <w:spacing w:beforeLines="120" w:before="288" w:afterLines="120" w:after="288" w:line="288" w:lineRule="auto"/>
        <w:jc w:val="both"/>
        <w:rPr>
          <w:rFonts w:ascii="Lato" w:hAnsi="Lato"/>
          <w:color w:val="595959" w:themeColor="text1" w:themeTint="A6"/>
          <w:sz w:val="22"/>
          <w:szCs w:val="22"/>
          <w:lang w:val="es-ES"/>
        </w:rPr>
      </w:pPr>
      <w:r w:rsidRPr="001F4FF6">
        <w:rPr>
          <w:rFonts w:eastAsia="Times New Roman" w:cstheme="minorHAnsi"/>
          <w:noProof/>
          <w:color w:val="000000"/>
          <w:lang w:eastAsia="es-MX"/>
          <w14:textOutline w14:w="9525" w14:cap="rnd" w14:cmpd="sng" w14:algn="ctr">
            <w14:solidFill>
              <w14:schemeClr w14:val="tx1"/>
            </w14:solidFill>
            <w14:prstDash w14:val="solid"/>
            <w14:bevel/>
          </w14:textOutline>
        </w:rPr>
        <w:drawing>
          <wp:inline distT="0" distB="0" distL="0" distR="0" wp14:anchorId="3CBB1140" wp14:editId="6F918F7A">
            <wp:extent cx="5611950" cy="2709081"/>
            <wp:effectExtent l="19050" t="19050" r="27305" b="15240"/>
            <wp:docPr id="18" name="Imagen 18" descr="C:\Users\alavalle\Dropbox (DC)\17. Sierra y Mar - KfW\15 Operación SyM\Presentaciones SyM\Sierra y Mar_abril2019_map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lavalle\Dropbox (DC)\17. Sierra y Mar - KfW\15 Operación SyM\Presentaciones SyM\Sierra y Mar_abril2019_mapa.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20912" cy="2713407"/>
                    </a:xfrm>
                    <a:prstGeom prst="rect">
                      <a:avLst/>
                    </a:prstGeom>
                    <a:noFill/>
                    <a:ln>
                      <a:solidFill>
                        <a:schemeClr val="tx1"/>
                      </a:solidFill>
                    </a:ln>
                  </pic:spPr>
                </pic:pic>
              </a:graphicData>
            </a:graphic>
          </wp:inline>
        </w:drawing>
      </w:r>
    </w:p>
    <w:p w:rsidR="00C90843" w:rsidRPr="001F4FF6" w:rsidRDefault="00C90843" w:rsidP="00C90843">
      <w:pPr>
        <w:keepLines/>
        <w:spacing w:beforeLines="120" w:before="288" w:afterLines="120" w:after="288" w:line="288" w:lineRule="auto"/>
        <w:jc w:val="center"/>
        <w:rPr>
          <w:rFonts w:ascii="Lato" w:hAnsi="Lato"/>
          <w:color w:val="595959" w:themeColor="text1" w:themeTint="A6"/>
          <w:sz w:val="22"/>
          <w:szCs w:val="22"/>
          <w:lang w:val="es-ES"/>
        </w:rPr>
      </w:pPr>
      <w:r w:rsidRPr="001F4FF6">
        <w:rPr>
          <w:rFonts w:ascii="Lato" w:hAnsi="Lato"/>
          <w:b/>
          <w:bCs/>
          <w:color w:val="595959" w:themeColor="text1" w:themeTint="A6"/>
          <w:sz w:val="22"/>
          <w:szCs w:val="22"/>
          <w:lang w:val="es-ES"/>
        </w:rPr>
        <w:t>Figura 2.</w:t>
      </w:r>
      <w:r w:rsidRPr="001F4FF6">
        <w:rPr>
          <w:rFonts w:ascii="Lato" w:hAnsi="Lato"/>
          <w:color w:val="595959" w:themeColor="text1" w:themeTint="A6"/>
          <w:sz w:val="22"/>
          <w:szCs w:val="22"/>
          <w:lang w:val="es-ES"/>
        </w:rPr>
        <w:t xml:space="preserve"> Arquitectura financiera del proyecto Sierra y Mar</w:t>
      </w:r>
    </w:p>
    <w:p w:rsidR="00C90843" w:rsidRDefault="00C90843" w:rsidP="00C90843">
      <w:pPr>
        <w:keepLines/>
        <w:spacing w:beforeLines="120" w:before="288" w:afterLines="120" w:after="288" w:line="288" w:lineRule="auto"/>
        <w:jc w:val="both"/>
        <w:rPr>
          <w:rFonts w:ascii="Lato" w:hAnsi="Lato"/>
          <w:b/>
          <w:bCs/>
          <w:color w:val="595959" w:themeColor="text1" w:themeTint="A6"/>
          <w:sz w:val="22"/>
          <w:szCs w:val="22"/>
          <w:lang w:val="es-ES"/>
        </w:rPr>
      </w:pPr>
    </w:p>
    <w:p w:rsidR="00C90843" w:rsidRDefault="00C90843" w:rsidP="00C90843">
      <w:pPr>
        <w:keepLines/>
        <w:spacing w:beforeLines="120" w:before="288" w:afterLines="120" w:after="288" w:line="288" w:lineRule="auto"/>
        <w:jc w:val="both"/>
        <w:rPr>
          <w:rFonts w:ascii="Lato" w:hAnsi="Lato"/>
          <w:b/>
          <w:bCs/>
          <w:color w:val="595959" w:themeColor="text1" w:themeTint="A6"/>
          <w:sz w:val="22"/>
          <w:szCs w:val="22"/>
          <w:lang w:val="es-ES"/>
        </w:rPr>
      </w:pPr>
    </w:p>
    <w:p w:rsidR="00C90843" w:rsidRDefault="00C90843" w:rsidP="00C90843">
      <w:pPr>
        <w:keepLines/>
        <w:spacing w:beforeLines="120" w:before="288" w:afterLines="120" w:after="288" w:line="288" w:lineRule="auto"/>
        <w:jc w:val="both"/>
        <w:rPr>
          <w:rFonts w:ascii="Lato" w:hAnsi="Lato"/>
          <w:b/>
          <w:bCs/>
          <w:color w:val="595959" w:themeColor="text1" w:themeTint="A6"/>
          <w:sz w:val="22"/>
          <w:szCs w:val="22"/>
          <w:lang w:val="es-ES"/>
        </w:rPr>
      </w:pPr>
    </w:p>
    <w:p w:rsidR="00C90843" w:rsidRDefault="00C90843" w:rsidP="00C90843">
      <w:pPr>
        <w:keepLines/>
        <w:spacing w:beforeLines="120" w:before="288" w:afterLines="120" w:after="288" w:line="288" w:lineRule="auto"/>
        <w:jc w:val="both"/>
        <w:rPr>
          <w:rFonts w:ascii="Lato" w:hAnsi="Lato"/>
          <w:b/>
          <w:bCs/>
          <w:color w:val="595959" w:themeColor="text1" w:themeTint="A6"/>
          <w:sz w:val="22"/>
          <w:szCs w:val="22"/>
          <w:lang w:val="es-ES"/>
        </w:rPr>
      </w:pPr>
      <w:r w:rsidRPr="001F4FF6">
        <w:rPr>
          <w:rFonts w:ascii="Lato" w:hAnsi="Lato"/>
          <w:b/>
          <w:bCs/>
          <w:color w:val="595959" w:themeColor="text1" w:themeTint="A6"/>
          <w:sz w:val="22"/>
          <w:szCs w:val="22"/>
          <w:lang w:val="es-ES"/>
        </w:rPr>
        <w:lastRenderedPageBreak/>
        <w:t>Objetivo de Sierra y Mar</w:t>
      </w:r>
    </w:p>
    <w:p w:rsidR="00C90843" w:rsidRPr="00C11F03" w:rsidRDefault="00C90843" w:rsidP="00C90843">
      <w:pPr>
        <w:keepLines/>
        <w:spacing w:beforeLines="120" w:before="288" w:afterLines="120" w:after="288" w:line="288" w:lineRule="auto"/>
        <w:jc w:val="both"/>
        <w:rPr>
          <w:rFonts w:ascii="Lato" w:hAnsi="Lato"/>
          <w:b/>
          <w:bCs/>
          <w:color w:val="595959" w:themeColor="text1" w:themeTint="A6"/>
          <w:sz w:val="22"/>
          <w:szCs w:val="22"/>
          <w:lang w:val="es-ES"/>
        </w:rPr>
      </w:pPr>
      <w:r w:rsidRPr="001F4FF6">
        <w:rPr>
          <w:rFonts w:ascii="Lato" w:hAnsi="Lato"/>
          <w:color w:val="595959" w:themeColor="text1" w:themeTint="A6"/>
          <w:sz w:val="22"/>
          <w:szCs w:val="22"/>
          <w:lang w:val="es-ES"/>
        </w:rPr>
        <w:t>El objetivo del proyecto Sierra y Mar es mejorar la conservación de la biodiversidad en las ANP y corredores ecológicos de las regiones Noreste y Sierra Madre Oriental; Planicie Costera y Golfo de México; Centro y Eje Neovolcánico, a través de una estrategia superior del proyecto, que contempla disminuir la pérdida de biodiversidad asociada a cambios de uso de suelo, el mantenimiento de la integridad ecosistémica y la provisión de servicios ambientales. Sierra y Mar contempla 14 ANP que conservan ecosistemas prioritarios desde el Noreste hasta el Golfo de México. El Cuadro 4 presenta las ANP seleccionadas con los principales tipos de vegetación y superficies correspondientes.</w:t>
      </w:r>
    </w:p>
    <w:p w:rsidR="00C90843" w:rsidRPr="001F4FF6" w:rsidRDefault="00C90843" w:rsidP="00C90843">
      <w:pPr>
        <w:keepLines/>
        <w:spacing w:beforeLines="120" w:before="288" w:afterLines="120" w:after="288" w:line="288" w:lineRule="auto"/>
        <w:jc w:val="both"/>
        <w:rPr>
          <w:rFonts w:ascii="Lato" w:hAnsi="Lato"/>
          <w:color w:val="595959" w:themeColor="text1" w:themeTint="A6"/>
          <w:sz w:val="22"/>
          <w:szCs w:val="22"/>
          <w:lang w:val="es-ES"/>
        </w:rPr>
      </w:pPr>
      <w:r w:rsidRPr="001F4FF6">
        <w:rPr>
          <w:rFonts w:ascii="Lato" w:hAnsi="Lato"/>
          <w:b/>
          <w:bCs/>
          <w:color w:val="595959" w:themeColor="text1" w:themeTint="A6"/>
          <w:sz w:val="22"/>
          <w:szCs w:val="22"/>
          <w:lang w:val="es-ES"/>
        </w:rPr>
        <w:t>Cuadro 4.</w:t>
      </w:r>
      <w:r w:rsidRPr="001F4FF6">
        <w:rPr>
          <w:rFonts w:ascii="Lato" w:hAnsi="Lato"/>
          <w:color w:val="595959" w:themeColor="text1" w:themeTint="A6"/>
          <w:sz w:val="22"/>
          <w:szCs w:val="22"/>
          <w:lang w:val="es-ES"/>
        </w:rPr>
        <w:t xml:space="preserve"> ANP incluidas en el proyecto Sierra y Mar. </w:t>
      </w:r>
      <w:r w:rsidRPr="00782B30">
        <w:rPr>
          <w:rFonts w:ascii="Lato" w:hAnsi="Lato"/>
          <w:color w:val="595959" w:themeColor="text1" w:themeTint="A6"/>
          <w:sz w:val="22"/>
          <w:szCs w:val="22"/>
          <w:vertAlign w:val="superscript"/>
          <w:lang w:val="es-ES"/>
        </w:rPr>
        <w:t>1</w:t>
      </w:r>
      <w:r w:rsidRPr="001F4FF6">
        <w:rPr>
          <w:rFonts w:ascii="Lato" w:hAnsi="Lato"/>
          <w:color w:val="595959" w:themeColor="text1" w:themeTint="A6"/>
          <w:sz w:val="22"/>
          <w:szCs w:val="22"/>
          <w:lang w:val="es-ES"/>
        </w:rPr>
        <w:t>Categoría: APFF=Área de Protección de Flora y Fauna; APRN=Área de Protección de Recursos Naturales; PN=Parque Nacional; RB=Reserva de la Biosfera.</w:t>
      </w:r>
    </w:p>
    <w:tbl>
      <w:tblPr>
        <w:tblW w:w="8799" w:type="dxa"/>
        <w:jc w:val="center"/>
        <w:tblBorders>
          <w:top w:val="single" w:sz="4" w:space="0" w:color="7F7F7F"/>
          <w:bottom w:val="single" w:sz="4" w:space="0" w:color="7F7F7F"/>
          <w:insideH w:val="single" w:sz="4" w:space="0" w:color="7F7F7F"/>
        </w:tblBorders>
        <w:tblCellMar>
          <w:left w:w="70" w:type="dxa"/>
          <w:right w:w="70" w:type="dxa"/>
        </w:tblCellMar>
        <w:tblLook w:val="04A0" w:firstRow="1" w:lastRow="0" w:firstColumn="1" w:lastColumn="0" w:noHBand="0" w:noVBand="1"/>
      </w:tblPr>
      <w:tblGrid>
        <w:gridCol w:w="2343"/>
        <w:gridCol w:w="1100"/>
        <w:gridCol w:w="1160"/>
        <w:gridCol w:w="1460"/>
        <w:gridCol w:w="2736"/>
      </w:tblGrid>
      <w:tr w:rsidR="00C90843" w:rsidRPr="001F4FF6" w:rsidTr="00B211B4">
        <w:trPr>
          <w:trHeight w:val="270"/>
          <w:jc w:val="center"/>
        </w:trPr>
        <w:tc>
          <w:tcPr>
            <w:tcW w:w="2343" w:type="dxa"/>
            <w:shd w:val="clear" w:color="auto" w:fill="E7E6E6" w:themeFill="background2"/>
            <w:vAlign w:val="center"/>
            <w:hideMark/>
          </w:tcPr>
          <w:p w:rsidR="00C90843" w:rsidRPr="001F4FF6" w:rsidRDefault="00C90843" w:rsidP="00B211B4">
            <w:pPr>
              <w:jc w:val="center"/>
              <w:rPr>
                <w:rFonts w:ascii="Lato" w:eastAsia="Times New Roman" w:hAnsi="Lato" w:cs="Calibri"/>
                <w:b/>
                <w:bCs/>
                <w:color w:val="595959" w:themeColor="text1" w:themeTint="A6"/>
                <w:sz w:val="20"/>
                <w:szCs w:val="20"/>
                <w:lang w:val="es-ES" w:eastAsia="es-MX"/>
              </w:rPr>
            </w:pPr>
            <w:bookmarkStart w:id="19" w:name="_Toc280024918"/>
            <w:bookmarkStart w:id="20" w:name="_Toc25085305"/>
            <w:r w:rsidRPr="001F4FF6">
              <w:rPr>
                <w:rFonts w:ascii="Lato" w:eastAsia="Times New Roman" w:hAnsi="Lato" w:cs="Calibri"/>
                <w:b/>
                <w:bCs/>
                <w:color w:val="595959" w:themeColor="text1" w:themeTint="A6"/>
                <w:sz w:val="20"/>
                <w:szCs w:val="20"/>
                <w:lang w:val="es-ES" w:eastAsia="es-MX"/>
              </w:rPr>
              <w:t>Categoría</w:t>
            </w:r>
            <w:r w:rsidRPr="001F4FF6">
              <w:rPr>
                <w:rFonts w:ascii="Lato" w:eastAsia="Times New Roman" w:hAnsi="Lato" w:cs="Calibri"/>
                <w:b/>
                <w:bCs/>
                <w:color w:val="595959" w:themeColor="text1" w:themeTint="A6"/>
                <w:sz w:val="20"/>
                <w:szCs w:val="20"/>
                <w:vertAlign w:val="superscript"/>
                <w:lang w:val="es-ES" w:eastAsia="es-MX"/>
              </w:rPr>
              <w:t>1</w:t>
            </w:r>
            <w:r w:rsidRPr="001F4FF6">
              <w:rPr>
                <w:rFonts w:ascii="Lato" w:eastAsia="Times New Roman" w:hAnsi="Lato" w:cs="Calibri"/>
                <w:b/>
                <w:bCs/>
                <w:color w:val="595959" w:themeColor="text1" w:themeTint="A6"/>
                <w:sz w:val="20"/>
                <w:szCs w:val="20"/>
                <w:lang w:val="es-ES" w:eastAsia="es-MX"/>
              </w:rPr>
              <w:t xml:space="preserve"> y ANP</w:t>
            </w:r>
          </w:p>
        </w:tc>
        <w:tc>
          <w:tcPr>
            <w:tcW w:w="1100" w:type="dxa"/>
            <w:shd w:val="clear" w:color="auto" w:fill="E7E6E6" w:themeFill="background2"/>
            <w:vAlign w:val="center"/>
            <w:hideMark/>
          </w:tcPr>
          <w:p w:rsidR="00C90843" w:rsidRPr="001F4FF6" w:rsidRDefault="00C90843" w:rsidP="00B211B4">
            <w:pPr>
              <w:jc w:val="center"/>
              <w:rPr>
                <w:rFonts w:ascii="Lato" w:eastAsia="Times New Roman" w:hAnsi="Lato" w:cs="Calibri"/>
                <w:b/>
                <w:bCs/>
                <w:color w:val="595959" w:themeColor="text1" w:themeTint="A6"/>
                <w:sz w:val="20"/>
                <w:szCs w:val="20"/>
                <w:lang w:val="es-ES" w:eastAsia="es-MX"/>
              </w:rPr>
            </w:pPr>
            <w:r w:rsidRPr="001F4FF6">
              <w:rPr>
                <w:rFonts w:ascii="Lato" w:eastAsia="Times New Roman" w:hAnsi="Lato" w:cs="Calibri"/>
                <w:b/>
                <w:bCs/>
                <w:color w:val="595959" w:themeColor="text1" w:themeTint="A6"/>
                <w:sz w:val="20"/>
                <w:szCs w:val="20"/>
                <w:lang w:val="es-ES" w:eastAsia="es-MX"/>
              </w:rPr>
              <w:t>Superficie Terrestre (ha)</w:t>
            </w:r>
          </w:p>
        </w:tc>
        <w:tc>
          <w:tcPr>
            <w:tcW w:w="1160" w:type="dxa"/>
            <w:shd w:val="clear" w:color="auto" w:fill="E7E6E6" w:themeFill="background2"/>
            <w:vAlign w:val="center"/>
            <w:hideMark/>
          </w:tcPr>
          <w:p w:rsidR="00C90843" w:rsidRPr="001F4FF6" w:rsidRDefault="00C90843" w:rsidP="00B211B4">
            <w:pPr>
              <w:jc w:val="center"/>
              <w:rPr>
                <w:rFonts w:ascii="Lato" w:eastAsia="Times New Roman" w:hAnsi="Lato" w:cs="Calibri"/>
                <w:b/>
                <w:bCs/>
                <w:color w:val="595959" w:themeColor="text1" w:themeTint="A6"/>
                <w:sz w:val="20"/>
                <w:szCs w:val="20"/>
                <w:lang w:val="es-ES" w:eastAsia="es-MX"/>
              </w:rPr>
            </w:pPr>
            <w:r w:rsidRPr="001F4FF6">
              <w:rPr>
                <w:rFonts w:ascii="Lato" w:eastAsia="Times New Roman" w:hAnsi="Lato" w:cs="Calibri"/>
                <w:b/>
                <w:bCs/>
                <w:color w:val="595959" w:themeColor="text1" w:themeTint="A6"/>
                <w:sz w:val="20"/>
                <w:szCs w:val="20"/>
                <w:lang w:val="es-ES" w:eastAsia="es-MX"/>
              </w:rPr>
              <w:t>Superficie Marina (ha)</w:t>
            </w:r>
          </w:p>
        </w:tc>
        <w:tc>
          <w:tcPr>
            <w:tcW w:w="1460" w:type="dxa"/>
            <w:shd w:val="clear" w:color="auto" w:fill="E7E6E6" w:themeFill="background2"/>
            <w:vAlign w:val="center"/>
            <w:hideMark/>
          </w:tcPr>
          <w:p w:rsidR="00C90843" w:rsidRPr="001F4FF6" w:rsidRDefault="00C90843" w:rsidP="00B211B4">
            <w:pPr>
              <w:jc w:val="center"/>
              <w:rPr>
                <w:rFonts w:ascii="Lato" w:eastAsia="Times New Roman" w:hAnsi="Lato" w:cs="Calibri"/>
                <w:b/>
                <w:bCs/>
                <w:color w:val="595959" w:themeColor="text1" w:themeTint="A6"/>
                <w:sz w:val="20"/>
                <w:szCs w:val="20"/>
                <w:lang w:val="es-ES" w:eastAsia="es-MX"/>
              </w:rPr>
            </w:pPr>
            <w:r w:rsidRPr="001F4FF6">
              <w:rPr>
                <w:rFonts w:ascii="Lato" w:eastAsia="Times New Roman" w:hAnsi="Lato" w:cs="Calibri"/>
                <w:b/>
                <w:bCs/>
                <w:color w:val="595959" w:themeColor="text1" w:themeTint="A6"/>
                <w:sz w:val="20"/>
                <w:szCs w:val="20"/>
                <w:lang w:val="es-ES" w:eastAsia="es-MX"/>
              </w:rPr>
              <w:t>Superficie total (ha)</w:t>
            </w:r>
          </w:p>
        </w:tc>
        <w:tc>
          <w:tcPr>
            <w:tcW w:w="2736" w:type="dxa"/>
            <w:shd w:val="clear" w:color="auto" w:fill="E7E6E6" w:themeFill="background2"/>
            <w:vAlign w:val="center"/>
            <w:hideMark/>
          </w:tcPr>
          <w:p w:rsidR="00C90843" w:rsidRPr="001F4FF6" w:rsidRDefault="00C90843" w:rsidP="00B211B4">
            <w:pPr>
              <w:jc w:val="center"/>
              <w:rPr>
                <w:rFonts w:ascii="Lato" w:eastAsia="Times New Roman" w:hAnsi="Lato" w:cs="Calibri"/>
                <w:b/>
                <w:bCs/>
                <w:color w:val="595959" w:themeColor="text1" w:themeTint="A6"/>
                <w:sz w:val="20"/>
                <w:szCs w:val="20"/>
                <w:lang w:val="es-ES" w:eastAsia="es-MX"/>
              </w:rPr>
            </w:pPr>
            <w:r w:rsidRPr="001F4FF6">
              <w:rPr>
                <w:rFonts w:ascii="Lato" w:eastAsia="Times New Roman" w:hAnsi="Lato" w:cs="Calibri"/>
                <w:b/>
                <w:bCs/>
                <w:color w:val="595959" w:themeColor="text1" w:themeTint="A6"/>
                <w:sz w:val="20"/>
                <w:szCs w:val="20"/>
                <w:lang w:val="es-ES" w:eastAsia="es-MX"/>
              </w:rPr>
              <w:t>Tipos de Vegetación</w:t>
            </w:r>
          </w:p>
        </w:tc>
      </w:tr>
      <w:tr w:rsidR="00C90843" w:rsidRPr="001F4FF6" w:rsidTr="00B211B4">
        <w:trPr>
          <w:trHeight w:val="270"/>
          <w:jc w:val="center"/>
        </w:trPr>
        <w:tc>
          <w:tcPr>
            <w:tcW w:w="8799" w:type="dxa"/>
            <w:gridSpan w:val="5"/>
            <w:shd w:val="clear" w:color="auto" w:fill="F2F2F2" w:themeFill="background1" w:themeFillShade="F2"/>
            <w:noWrap/>
            <w:vAlign w:val="bottom"/>
            <w:hideMark/>
          </w:tcPr>
          <w:p w:rsidR="00C90843" w:rsidRPr="001F4FF6" w:rsidRDefault="00C90843" w:rsidP="00B211B4">
            <w:pPr>
              <w:jc w:val="cente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Región Noreste y Sierra Madre Oriental</w:t>
            </w:r>
          </w:p>
        </w:tc>
      </w:tr>
      <w:tr w:rsidR="00C90843" w:rsidRPr="001F4FF6" w:rsidTr="00B211B4">
        <w:trPr>
          <w:trHeight w:val="828"/>
          <w:jc w:val="center"/>
        </w:trPr>
        <w:tc>
          <w:tcPr>
            <w:tcW w:w="2343" w:type="dxa"/>
            <w:shd w:val="clear" w:color="auto" w:fill="auto"/>
            <w:noWrap/>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APFF Cañón de Santa Elena</w:t>
            </w:r>
          </w:p>
        </w:tc>
        <w:tc>
          <w:tcPr>
            <w:tcW w:w="1100" w:type="dxa"/>
            <w:shd w:val="clear" w:color="auto" w:fill="auto"/>
            <w:noWrap/>
            <w:vAlign w:val="center"/>
            <w:hideMark/>
          </w:tcPr>
          <w:p w:rsidR="00C90843" w:rsidRPr="001F4FF6" w:rsidRDefault="00C90843" w:rsidP="00B211B4">
            <w:pPr>
              <w:jc w:val="right"/>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277,210</w:t>
            </w:r>
          </w:p>
        </w:tc>
        <w:tc>
          <w:tcPr>
            <w:tcW w:w="1160" w:type="dxa"/>
            <w:shd w:val="clear" w:color="auto" w:fill="auto"/>
            <w:noWrap/>
            <w:vAlign w:val="center"/>
            <w:hideMark/>
          </w:tcPr>
          <w:p w:rsidR="00C90843" w:rsidRPr="001F4FF6" w:rsidRDefault="00C90843" w:rsidP="00B211B4">
            <w:pPr>
              <w:jc w:val="right"/>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0</w:t>
            </w:r>
          </w:p>
        </w:tc>
        <w:tc>
          <w:tcPr>
            <w:tcW w:w="1460" w:type="dxa"/>
            <w:shd w:val="clear" w:color="auto" w:fill="auto"/>
            <w:noWrap/>
            <w:vAlign w:val="center"/>
            <w:hideMark/>
          </w:tcPr>
          <w:p w:rsidR="00C90843" w:rsidRPr="001F4FF6" w:rsidRDefault="00C90843" w:rsidP="00B211B4">
            <w:pPr>
              <w:jc w:val="right"/>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277,210</w:t>
            </w:r>
          </w:p>
        </w:tc>
        <w:tc>
          <w:tcPr>
            <w:tcW w:w="2736" w:type="dxa"/>
            <w:shd w:val="clear" w:color="auto" w:fill="auto"/>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 xml:space="preserve">Bosque de coníferas, bosque de encino, matorral xerófilo, pastizal, vegetación hidrófila y vegetación inducida. </w:t>
            </w:r>
          </w:p>
        </w:tc>
      </w:tr>
      <w:tr w:rsidR="00C90843" w:rsidRPr="001F4FF6" w:rsidTr="00B211B4">
        <w:trPr>
          <w:trHeight w:val="828"/>
          <w:jc w:val="center"/>
        </w:trPr>
        <w:tc>
          <w:tcPr>
            <w:tcW w:w="2343" w:type="dxa"/>
            <w:shd w:val="clear" w:color="auto" w:fill="auto"/>
            <w:noWrap/>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APFF Maderas del Carmen</w:t>
            </w:r>
          </w:p>
        </w:tc>
        <w:tc>
          <w:tcPr>
            <w:tcW w:w="1100" w:type="dxa"/>
            <w:shd w:val="clear" w:color="auto" w:fill="auto"/>
            <w:noWrap/>
            <w:vAlign w:val="center"/>
            <w:hideMark/>
          </w:tcPr>
          <w:p w:rsidR="00C90843" w:rsidRPr="001F4FF6" w:rsidRDefault="00C90843" w:rsidP="00B211B4">
            <w:pPr>
              <w:jc w:val="right"/>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208,381</w:t>
            </w:r>
          </w:p>
        </w:tc>
        <w:tc>
          <w:tcPr>
            <w:tcW w:w="1160" w:type="dxa"/>
            <w:shd w:val="clear" w:color="auto" w:fill="auto"/>
            <w:noWrap/>
            <w:vAlign w:val="center"/>
            <w:hideMark/>
          </w:tcPr>
          <w:p w:rsidR="00C90843" w:rsidRPr="001F4FF6" w:rsidRDefault="00C90843" w:rsidP="00B211B4">
            <w:pPr>
              <w:jc w:val="right"/>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0</w:t>
            </w:r>
          </w:p>
        </w:tc>
        <w:tc>
          <w:tcPr>
            <w:tcW w:w="1460" w:type="dxa"/>
            <w:shd w:val="clear" w:color="auto" w:fill="auto"/>
            <w:noWrap/>
            <w:vAlign w:val="center"/>
            <w:hideMark/>
          </w:tcPr>
          <w:p w:rsidR="00C90843" w:rsidRPr="001F4FF6" w:rsidRDefault="00C90843" w:rsidP="00B211B4">
            <w:pPr>
              <w:jc w:val="right"/>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208,381</w:t>
            </w:r>
          </w:p>
        </w:tc>
        <w:tc>
          <w:tcPr>
            <w:tcW w:w="2736" w:type="dxa"/>
            <w:shd w:val="clear" w:color="auto" w:fill="auto"/>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 xml:space="preserve">Bosque de coníferas, bosque de encino, matorral xerófilo, pastizal, vegetación hidrófila y vegetación inducida. </w:t>
            </w:r>
          </w:p>
        </w:tc>
      </w:tr>
      <w:tr w:rsidR="00C90843" w:rsidRPr="001F4FF6" w:rsidTr="00B211B4">
        <w:trPr>
          <w:trHeight w:val="552"/>
          <w:jc w:val="center"/>
        </w:trPr>
        <w:tc>
          <w:tcPr>
            <w:tcW w:w="2343" w:type="dxa"/>
            <w:shd w:val="clear" w:color="auto" w:fill="auto"/>
            <w:noWrap/>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APFF Ocampo</w:t>
            </w:r>
          </w:p>
        </w:tc>
        <w:tc>
          <w:tcPr>
            <w:tcW w:w="1100" w:type="dxa"/>
            <w:shd w:val="clear" w:color="auto" w:fill="auto"/>
            <w:noWrap/>
            <w:vAlign w:val="center"/>
            <w:hideMark/>
          </w:tcPr>
          <w:p w:rsidR="00C90843" w:rsidRPr="001F4FF6" w:rsidRDefault="00C90843" w:rsidP="00B211B4">
            <w:pPr>
              <w:jc w:val="right"/>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344,238</w:t>
            </w:r>
          </w:p>
        </w:tc>
        <w:tc>
          <w:tcPr>
            <w:tcW w:w="1160" w:type="dxa"/>
            <w:shd w:val="clear" w:color="auto" w:fill="auto"/>
            <w:noWrap/>
            <w:vAlign w:val="center"/>
            <w:hideMark/>
          </w:tcPr>
          <w:p w:rsidR="00C90843" w:rsidRPr="001F4FF6" w:rsidRDefault="00C90843" w:rsidP="00B211B4">
            <w:pPr>
              <w:jc w:val="right"/>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0</w:t>
            </w:r>
          </w:p>
        </w:tc>
        <w:tc>
          <w:tcPr>
            <w:tcW w:w="1460" w:type="dxa"/>
            <w:shd w:val="clear" w:color="auto" w:fill="auto"/>
            <w:noWrap/>
            <w:vAlign w:val="center"/>
            <w:hideMark/>
          </w:tcPr>
          <w:p w:rsidR="00C90843" w:rsidRPr="001F4FF6" w:rsidRDefault="00C90843" w:rsidP="00B211B4">
            <w:pPr>
              <w:jc w:val="right"/>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344,238</w:t>
            </w:r>
          </w:p>
        </w:tc>
        <w:tc>
          <w:tcPr>
            <w:tcW w:w="2736" w:type="dxa"/>
            <w:shd w:val="clear" w:color="auto" w:fill="auto"/>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 xml:space="preserve">Matorral xerófilo, pastizal, vegetación hidrófila y vegetación inducida. </w:t>
            </w:r>
          </w:p>
        </w:tc>
      </w:tr>
      <w:tr w:rsidR="00C90843" w:rsidRPr="001F4FF6" w:rsidTr="00B211B4">
        <w:trPr>
          <w:trHeight w:val="585"/>
          <w:jc w:val="center"/>
        </w:trPr>
        <w:tc>
          <w:tcPr>
            <w:tcW w:w="2343"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APRN Cuenca Alimentadora del Distrito de Riego 004 Don Martín</w:t>
            </w:r>
          </w:p>
        </w:tc>
        <w:tc>
          <w:tcPr>
            <w:tcW w:w="1100" w:type="dxa"/>
            <w:shd w:val="clear" w:color="auto" w:fill="auto"/>
            <w:noWrap/>
            <w:vAlign w:val="center"/>
            <w:hideMark/>
          </w:tcPr>
          <w:p w:rsidR="00C90843" w:rsidRPr="001F4FF6" w:rsidRDefault="00C90843" w:rsidP="00B211B4">
            <w:pPr>
              <w:jc w:val="right"/>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1,519,385</w:t>
            </w:r>
          </w:p>
        </w:tc>
        <w:tc>
          <w:tcPr>
            <w:tcW w:w="1160" w:type="dxa"/>
            <w:shd w:val="clear" w:color="auto" w:fill="auto"/>
            <w:noWrap/>
            <w:vAlign w:val="center"/>
            <w:hideMark/>
          </w:tcPr>
          <w:p w:rsidR="00C90843" w:rsidRPr="001F4FF6" w:rsidRDefault="00C90843" w:rsidP="00B211B4">
            <w:pPr>
              <w:jc w:val="right"/>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0</w:t>
            </w:r>
          </w:p>
        </w:tc>
        <w:tc>
          <w:tcPr>
            <w:tcW w:w="1460" w:type="dxa"/>
            <w:shd w:val="clear" w:color="auto" w:fill="auto"/>
            <w:noWrap/>
            <w:vAlign w:val="center"/>
            <w:hideMark/>
          </w:tcPr>
          <w:p w:rsidR="00C90843" w:rsidRPr="001F4FF6" w:rsidRDefault="00C90843" w:rsidP="00B211B4">
            <w:pPr>
              <w:jc w:val="right"/>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1,519,385</w:t>
            </w:r>
          </w:p>
        </w:tc>
        <w:tc>
          <w:tcPr>
            <w:tcW w:w="2736" w:type="dxa"/>
            <w:shd w:val="clear" w:color="auto" w:fill="auto"/>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Bosque de pino-encino, matorral micrófilo y pastizal.</w:t>
            </w:r>
          </w:p>
        </w:tc>
      </w:tr>
      <w:tr w:rsidR="00C90843" w:rsidRPr="001F4FF6" w:rsidTr="00B211B4">
        <w:trPr>
          <w:trHeight w:val="288"/>
          <w:jc w:val="center"/>
        </w:trPr>
        <w:tc>
          <w:tcPr>
            <w:tcW w:w="2343" w:type="dxa"/>
            <w:shd w:val="clear" w:color="auto" w:fill="auto"/>
            <w:noWrap/>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RB Sierra del Abra Tanchipa</w:t>
            </w:r>
          </w:p>
        </w:tc>
        <w:tc>
          <w:tcPr>
            <w:tcW w:w="1100" w:type="dxa"/>
            <w:shd w:val="clear" w:color="auto" w:fill="auto"/>
            <w:noWrap/>
            <w:vAlign w:val="center"/>
            <w:hideMark/>
          </w:tcPr>
          <w:p w:rsidR="00C90843" w:rsidRPr="001F4FF6" w:rsidRDefault="00C90843" w:rsidP="00B211B4">
            <w:pPr>
              <w:jc w:val="right"/>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21,464</w:t>
            </w:r>
          </w:p>
        </w:tc>
        <w:tc>
          <w:tcPr>
            <w:tcW w:w="1160" w:type="dxa"/>
            <w:shd w:val="clear" w:color="auto" w:fill="auto"/>
            <w:noWrap/>
            <w:vAlign w:val="center"/>
            <w:hideMark/>
          </w:tcPr>
          <w:p w:rsidR="00C90843" w:rsidRPr="001F4FF6" w:rsidRDefault="00C90843" w:rsidP="00B211B4">
            <w:pPr>
              <w:jc w:val="right"/>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0</w:t>
            </w:r>
          </w:p>
        </w:tc>
        <w:tc>
          <w:tcPr>
            <w:tcW w:w="1460" w:type="dxa"/>
            <w:shd w:val="clear" w:color="auto" w:fill="auto"/>
            <w:noWrap/>
            <w:vAlign w:val="center"/>
            <w:hideMark/>
          </w:tcPr>
          <w:p w:rsidR="00C90843" w:rsidRPr="001F4FF6" w:rsidRDefault="00C90843" w:rsidP="00B211B4">
            <w:pPr>
              <w:jc w:val="right"/>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21,464</w:t>
            </w:r>
          </w:p>
        </w:tc>
        <w:tc>
          <w:tcPr>
            <w:tcW w:w="2736" w:type="dxa"/>
            <w:shd w:val="clear" w:color="auto" w:fill="auto"/>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 xml:space="preserve">Selva caducifolia. </w:t>
            </w:r>
          </w:p>
        </w:tc>
      </w:tr>
      <w:tr w:rsidR="00C90843" w:rsidRPr="001F4FF6" w:rsidTr="00B211B4">
        <w:trPr>
          <w:trHeight w:val="270"/>
          <w:jc w:val="center"/>
        </w:trPr>
        <w:tc>
          <w:tcPr>
            <w:tcW w:w="8799" w:type="dxa"/>
            <w:gridSpan w:val="5"/>
            <w:shd w:val="clear" w:color="auto" w:fill="F2F2F2" w:themeFill="background1" w:themeFillShade="F2"/>
            <w:noWrap/>
            <w:vAlign w:val="bottom"/>
            <w:hideMark/>
          </w:tcPr>
          <w:p w:rsidR="00C90843" w:rsidRPr="001F4FF6" w:rsidRDefault="00C90843" w:rsidP="00B211B4">
            <w:pPr>
              <w:jc w:val="cente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Región Centro y Eje Neovolcánico</w:t>
            </w:r>
          </w:p>
        </w:tc>
      </w:tr>
      <w:tr w:rsidR="00C90843" w:rsidRPr="001F4FF6" w:rsidTr="00B211B4">
        <w:trPr>
          <w:trHeight w:val="1104"/>
          <w:jc w:val="center"/>
        </w:trPr>
        <w:tc>
          <w:tcPr>
            <w:tcW w:w="2343" w:type="dxa"/>
            <w:shd w:val="clear" w:color="auto" w:fill="auto"/>
            <w:noWrap/>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lastRenderedPageBreak/>
              <w:t>RB Sierra Gorda, Querétaro</w:t>
            </w:r>
          </w:p>
        </w:tc>
        <w:tc>
          <w:tcPr>
            <w:tcW w:w="1100" w:type="dxa"/>
            <w:shd w:val="clear" w:color="auto" w:fill="auto"/>
            <w:noWrap/>
            <w:vAlign w:val="center"/>
            <w:hideMark/>
          </w:tcPr>
          <w:p w:rsidR="00C90843" w:rsidRPr="001F4FF6" w:rsidRDefault="00C90843" w:rsidP="00B211B4">
            <w:pPr>
              <w:jc w:val="right"/>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383,567</w:t>
            </w:r>
          </w:p>
        </w:tc>
        <w:tc>
          <w:tcPr>
            <w:tcW w:w="1160" w:type="dxa"/>
            <w:shd w:val="clear" w:color="auto" w:fill="auto"/>
            <w:noWrap/>
            <w:vAlign w:val="center"/>
            <w:hideMark/>
          </w:tcPr>
          <w:p w:rsidR="00C90843" w:rsidRPr="001F4FF6" w:rsidRDefault="00C90843" w:rsidP="00B211B4">
            <w:pPr>
              <w:jc w:val="right"/>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0</w:t>
            </w:r>
          </w:p>
        </w:tc>
        <w:tc>
          <w:tcPr>
            <w:tcW w:w="1460" w:type="dxa"/>
            <w:shd w:val="clear" w:color="auto" w:fill="auto"/>
            <w:noWrap/>
            <w:vAlign w:val="center"/>
            <w:hideMark/>
          </w:tcPr>
          <w:p w:rsidR="00C90843" w:rsidRPr="001F4FF6" w:rsidRDefault="00C90843" w:rsidP="00B211B4">
            <w:pPr>
              <w:jc w:val="right"/>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383,567</w:t>
            </w:r>
          </w:p>
        </w:tc>
        <w:tc>
          <w:tcPr>
            <w:tcW w:w="2736" w:type="dxa"/>
            <w:shd w:val="clear" w:color="auto" w:fill="auto"/>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Bosque de coníferas, bosque de encino, bosque mesófilo de montaña, matorral xerófilo, selva caducifolia, selva perennifolia y vegetación inducida.</w:t>
            </w:r>
          </w:p>
        </w:tc>
      </w:tr>
      <w:tr w:rsidR="00C90843" w:rsidRPr="001F4FF6" w:rsidTr="00B211B4">
        <w:trPr>
          <w:trHeight w:val="288"/>
          <w:jc w:val="center"/>
        </w:trPr>
        <w:tc>
          <w:tcPr>
            <w:tcW w:w="8799" w:type="dxa"/>
            <w:gridSpan w:val="5"/>
            <w:shd w:val="clear" w:color="auto" w:fill="F2F2F2" w:themeFill="background1" w:themeFillShade="F2"/>
            <w:noWrap/>
            <w:vAlign w:val="bottom"/>
            <w:hideMark/>
          </w:tcPr>
          <w:p w:rsidR="00C90843" w:rsidRPr="001F4FF6" w:rsidRDefault="00C90843" w:rsidP="00B211B4">
            <w:pPr>
              <w:jc w:val="cente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Región Planicie Costera y Golfo de México</w:t>
            </w:r>
          </w:p>
        </w:tc>
      </w:tr>
      <w:tr w:rsidR="00C90843" w:rsidRPr="001F4FF6" w:rsidTr="00B211B4">
        <w:trPr>
          <w:trHeight w:val="552"/>
          <w:jc w:val="center"/>
        </w:trPr>
        <w:tc>
          <w:tcPr>
            <w:tcW w:w="2343"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APRN Cuenca Hidrográfica del Río Necaxa</w:t>
            </w:r>
          </w:p>
        </w:tc>
        <w:tc>
          <w:tcPr>
            <w:tcW w:w="1100" w:type="dxa"/>
            <w:shd w:val="clear" w:color="auto" w:fill="auto"/>
            <w:noWrap/>
            <w:vAlign w:val="center"/>
            <w:hideMark/>
          </w:tcPr>
          <w:p w:rsidR="00C90843" w:rsidRPr="001F4FF6" w:rsidRDefault="00C90843" w:rsidP="00B211B4">
            <w:pPr>
              <w:jc w:val="right"/>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42,129</w:t>
            </w:r>
          </w:p>
        </w:tc>
        <w:tc>
          <w:tcPr>
            <w:tcW w:w="1160" w:type="dxa"/>
            <w:shd w:val="clear" w:color="auto" w:fill="auto"/>
            <w:noWrap/>
            <w:vAlign w:val="center"/>
            <w:hideMark/>
          </w:tcPr>
          <w:p w:rsidR="00C90843" w:rsidRPr="001F4FF6" w:rsidRDefault="00C90843" w:rsidP="00B211B4">
            <w:pPr>
              <w:jc w:val="right"/>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0</w:t>
            </w:r>
          </w:p>
        </w:tc>
        <w:tc>
          <w:tcPr>
            <w:tcW w:w="1460" w:type="dxa"/>
            <w:shd w:val="clear" w:color="auto" w:fill="auto"/>
            <w:noWrap/>
            <w:vAlign w:val="center"/>
            <w:hideMark/>
          </w:tcPr>
          <w:p w:rsidR="00C90843" w:rsidRPr="001F4FF6" w:rsidRDefault="00C90843" w:rsidP="00B211B4">
            <w:pPr>
              <w:jc w:val="right"/>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42,129</w:t>
            </w:r>
          </w:p>
        </w:tc>
        <w:tc>
          <w:tcPr>
            <w:tcW w:w="2736"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 xml:space="preserve">Bosque de coníferas, bosque mesófilo de montaña y vegetación inducida. </w:t>
            </w:r>
          </w:p>
        </w:tc>
      </w:tr>
      <w:tr w:rsidR="00C90843" w:rsidRPr="001F4FF6" w:rsidTr="00B211B4">
        <w:trPr>
          <w:trHeight w:val="288"/>
          <w:jc w:val="center"/>
        </w:trPr>
        <w:tc>
          <w:tcPr>
            <w:tcW w:w="2343"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PN Cofre de Perote</w:t>
            </w:r>
          </w:p>
        </w:tc>
        <w:tc>
          <w:tcPr>
            <w:tcW w:w="1100" w:type="dxa"/>
            <w:shd w:val="clear" w:color="auto" w:fill="auto"/>
            <w:noWrap/>
            <w:vAlign w:val="center"/>
            <w:hideMark/>
          </w:tcPr>
          <w:p w:rsidR="00C90843" w:rsidRPr="001F4FF6" w:rsidRDefault="00C90843" w:rsidP="00B211B4">
            <w:pPr>
              <w:jc w:val="right"/>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11,531</w:t>
            </w:r>
          </w:p>
        </w:tc>
        <w:tc>
          <w:tcPr>
            <w:tcW w:w="1160" w:type="dxa"/>
            <w:shd w:val="clear" w:color="auto" w:fill="auto"/>
            <w:noWrap/>
            <w:vAlign w:val="center"/>
            <w:hideMark/>
          </w:tcPr>
          <w:p w:rsidR="00C90843" w:rsidRPr="001F4FF6" w:rsidRDefault="00C90843" w:rsidP="00B211B4">
            <w:pPr>
              <w:jc w:val="right"/>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0</w:t>
            </w:r>
          </w:p>
        </w:tc>
        <w:tc>
          <w:tcPr>
            <w:tcW w:w="1460" w:type="dxa"/>
            <w:shd w:val="clear" w:color="auto" w:fill="auto"/>
            <w:noWrap/>
            <w:vAlign w:val="center"/>
            <w:hideMark/>
          </w:tcPr>
          <w:p w:rsidR="00C90843" w:rsidRPr="001F4FF6" w:rsidRDefault="00C90843" w:rsidP="00B211B4">
            <w:pPr>
              <w:jc w:val="right"/>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11,531</w:t>
            </w:r>
          </w:p>
        </w:tc>
        <w:tc>
          <w:tcPr>
            <w:tcW w:w="2736"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Bosque de coníferas y pastizal.</w:t>
            </w:r>
          </w:p>
        </w:tc>
      </w:tr>
      <w:tr w:rsidR="00C90843" w:rsidRPr="001F4FF6" w:rsidTr="00B211B4">
        <w:trPr>
          <w:trHeight w:val="288"/>
          <w:jc w:val="center"/>
        </w:trPr>
        <w:tc>
          <w:tcPr>
            <w:tcW w:w="2343"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PN Pico de Orizaba</w:t>
            </w:r>
          </w:p>
        </w:tc>
        <w:tc>
          <w:tcPr>
            <w:tcW w:w="1100" w:type="dxa"/>
            <w:shd w:val="clear" w:color="auto" w:fill="auto"/>
            <w:noWrap/>
            <w:vAlign w:val="center"/>
            <w:hideMark/>
          </w:tcPr>
          <w:p w:rsidR="00C90843" w:rsidRPr="001F4FF6" w:rsidRDefault="00C90843" w:rsidP="00B211B4">
            <w:pPr>
              <w:jc w:val="right"/>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19,750</w:t>
            </w:r>
          </w:p>
        </w:tc>
        <w:tc>
          <w:tcPr>
            <w:tcW w:w="1160" w:type="dxa"/>
            <w:shd w:val="clear" w:color="auto" w:fill="auto"/>
            <w:noWrap/>
            <w:vAlign w:val="center"/>
            <w:hideMark/>
          </w:tcPr>
          <w:p w:rsidR="00C90843" w:rsidRPr="001F4FF6" w:rsidRDefault="00C90843" w:rsidP="00B211B4">
            <w:pPr>
              <w:jc w:val="right"/>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0</w:t>
            </w:r>
          </w:p>
        </w:tc>
        <w:tc>
          <w:tcPr>
            <w:tcW w:w="1460" w:type="dxa"/>
            <w:shd w:val="clear" w:color="auto" w:fill="auto"/>
            <w:noWrap/>
            <w:vAlign w:val="center"/>
            <w:hideMark/>
          </w:tcPr>
          <w:p w:rsidR="00C90843" w:rsidRPr="001F4FF6" w:rsidRDefault="00C90843" w:rsidP="00B211B4">
            <w:pPr>
              <w:jc w:val="right"/>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19,750</w:t>
            </w:r>
          </w:p>
        </w:tc>
        <w:tc>
          <w:tcPr>
            <w:tcW w:w="2736"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Bosque de coníferas y pastizal.</w:t>
            </w:r>
          </w:p>
        </w:tc>
      </w:tr>
      <w:tr w:rsidR="00C90843" w:rsidRPr="001F4FF6" w:rsidTr="00B211B4">
        <w:trPr>
          <w:trHeight w:val="552"/>
          <w:jc w:val="center"/>
        </w:trPr>
        <w:tc>
          <w:tcPr>
            <w:tcW w:w="2343"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APFF Sistema Arrecifal Lobos-Tuxpan</w:t>
            </w:r>
          </w:p>
        </w:tc>
        <w:tc>
          <w:tcPr>
            <w:tcW w:w="1100" w:type="dxa"/>
            <w:shd w:val="clear" w:color="auto" w:fill="auto"/>
            <w:noWrap/>
            <w:vAlign w:val="center"/>
            <w:hideMark/>
          </w:tcPr>
          <w:p w:rsidR="00C90843" w:rsidRPr="001F4FF6" w:rsidRDefault="00C90843" w:rsidP="00B211B4">
            <w:pPr>
              <w:jc w:val="right"/>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0</w:t>
            </w:r>
          </w:p>
        </w:tc>
        <w:tc>
          <w:tcPr>
            <w:tcW w:w="1160" w:type="dxa"/>
            <w:shd w:val="clear" w:color="auto" w:fill="auto"/>
            <w:noWrap/>
            <w:vAlign w:val="center"/>
            <w:hideMark/>
          </w:tcPr>
          <w:p w:rsidR="00C90843" w:rsidRPr="001F4FF6" w:rsidRDefault="00C90843" w:rsidP="00B211B4">
            <w:pPr>
              <w:jc w:val="right"/>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30,571</w:t>
            </w:r>
          </w:p>
        </w:tc>
        <w:tc>
          <w:tcPr>
            <w:tcW w:w="1460" w:type="dxa"/>
            <w:shd w:val="clear" w:color="auto" w:fill="auto"/>
            <w:noWrap/>
            <w:vAlign w:val="center"/>
            <w:hideMark/>
          </w:tcPr>
          <w:p w:rsidR="00C90843" w:rsidRPr="001F4FF6" w:rsidRDefault="00C90843" w:rsidP="00B211B4">
            <w:pPr>
              <w:jc w:val="right"/>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30,571</w:t>
            </w:r>
          </w:p>
        </w:tc>
        <w:tc>
          <w:tcPr>
            <w:tcW w:w="2736"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Sin vegetación aparente</w:t>
            </w:r>
          </w:p>
        </w:tc>
      </w:tr>
      <w:tr w:rsidR="00C90843" w:rsidRPr="001F4FF6" w:rsidTr="00B211B4">
        <w:trPr>
          <w:trHeight w:val="552"/>
          <w:jc w:val="center"/>
        </w:trPr>
        <w:tc>
          <w:tcPr>
            <w:tcW w:w="2343"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PN Sistema Arrecifal Veracruzano</w:t>
            </w:r>
          </w:p>
        </w:tc>
        <w:tc>
          <w:tcPr>
            <w:tcW w:w="1100" w:type="dxa"/>
            <w:shd w:val="clear" w:color="auto" w:fill="auto"/>
            <w:noWrap/>
            <w:vAlign w:val="center"/>
            <w:hideMark/>
          </w:tcPr>
          <w:p w:rsidR="00C90843" w:rsidRPr="001F4FF6" w:rsidRDefault="00C90843" w:rsidP="00B211B4">
            <w:pPr>
              <w:jc w:val="right"/>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12.24</w:t>
            </w:r>
          </w:p>
        </w:tc>
        <w:tc>
          <w:tcPr>
            <w:tcW w:w="1160" w:type="dxa"/>
            <w:shd w:val="clear" w:color="auto" w:fill="auto"/>
            <w:noWrap/>
            <w:vAlign w:val="center"/>
            <w:hideMark/>
          </w:tcPr>
          <w:p w:rsidR="00C90843" w:rsidRPr="001F4FF6" w:rsidRDefault="00C90843" w:rsidP="00B211B4">
            <w:pPr>
              <w:jc w:val="right"/>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65,504</w:t>
            </w:r>
          </w:p>
        </w:tc>
        <w:tc>
          <w:tcPr>
            <w:tcW w:w="1460" w:type="dxa"/>
            <w:shd w:val="clear" w:color="auto" w:fill="auto"/>
            <w:noWrap/>
            <w:vAlign w:val="center"/>
            <w:hideMark/>
          </w:tcPr>
          <w:p w:rsidR="00C90843" w:rsidRPr="001F4FF6" w:rsidRDefault="00C90843" w:rsidP="00B211B4">
            <w:pPr>
              <w:jc w:val="right"/>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65,516</w:t>
            </w:r>
          </w:p>
        </w:tc>
        <w:tc>
          <w:tcPr>
            <w:tcW w:w="2736"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 xml:space="preserve">Vegetación de dunas costeras. </w:t>
            </w:r>
          </w:p>
        </w:tc>
      </w:tr>
      <w:tr w:rsidR="00C90843" w:rsidRPr="001F4FF6" w:rsidTr="00B211B4">
        <w:trPr>
          <w:trHeight w:val="1104"/>
          <w:jc w:val="center"/>
        </w:trPr>
        <w:tc>
          <w:tcPr>
            <w:tcW w:w="2343"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RB Los Tuxtlas</w:t>
            </w:r>
          </w:p>
        </w:tc>
        <w:tc>
          <w:tcPr>
            <w:tcW w:w="1100" w:type="dxa"/>
            <w:shd w:val="clear" w:color="auto" w:fill="auto"/>
            <w:noWrap/>
            <w:vAlign w:val="center"/>
            <w:hideMark/>
          </w:tcPr>
          <w:p w:rsidR="00C90843" w:rsidRPr="001F4FF6" w:rsidRDefault="00C90843" w:rsidP="00B211B4">
            <w:pPr>
              <w:jc w:val="right"/>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155,122</w:t>
            </w:r>
          </w:p>
        </w:tc>
        <w:tc>
          <w:tcPr>
            <w:tcW w:w="1160" w:type="dxa"/>
            <w:shd w:val="clear" w:color="auto" w:fill="auto"/>
            <w:noWrap/>
            <w:vAlign w:val="center"/>
            <w:hideMark/>
          </w:tcPr>
          <w:p w:rsidR="00C90843" w:rsidRPr="001F4FF6" w:rsidRDefault="00C90843" w:rsidP="00B211B4">
            <w:pPr>
              <w:jc w:val="right"/>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0</w:t>
            </w:r>
          </w:p>
        </w:tc>
        <w:tc>
          <w:tcPr>
            <w:tcW w:w="1460" w:type="dxa"/>
            <w:shd w:val="clear" w:color="auto" w:fill="auto"/>
            <w:noWrap/>
            <w:vAlign w:val="center"/>
            <w:hideMark/>
          </w:tcPr>
          <w:p w:rsidR="00C90843" w:rsidRPr="001F4FF6" w:rsidRDefault="00C90843" w:rsidP="00B211B4">
            <w:pPr>
              <w:jc w:val="right"/>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155,122</w:t>
            </w:r>
          </w:p>
        </w:tc>
        <w:tc>
          <w:tcPr>
            <w:tcW w:w="2736"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Bosque de coníferas, bosque de encino, bosque mesófilo de montaña, selva perennifolia, vegetación hidrófila y vegetación inducida.</w:t>
            </w:r>
          </w:p>
        </w:tc>
      </w:tr>
      <w:tr w:rsidR="00C90843" w:rsidRPr="001F4FF6" w:rsidTr="00B211B4">
        <w:trPr>
          <w:trHeight w:val="552"/>
          <w:jc w:val="center"/>
        </w:trPr>
        <w:tc>
          <w:tcPr>
            <w:tcW w:w="2343"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RB Pantanos de Centla</w:t>
            </w:r>
          </w:p>
        </w:tc>
        <w:tc>
          <w:tcPr>
            <w:tcW w:w="1100" w:type="dxa"/>
            <w:shd w:val="clear" w:color="auto" w:fill="auto"/>
            <w:noWrap/>
            <w:vAlign w:val="center"/>
            <w:hideMark/>
          </w:tcPr>
          <w:p w:rsidR="00C90843" w:rsidRPr="001F4FF6" w:rsidRDefault="00C90843" w:rsidP="00B211B4">
            <w:pPr>
              <w:jc w:val="right"/>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302,707</w:t>
            </w:r>
          </w:p>
        </w:tc>
        <w:tc>
          <w:tcPr>
            <w:tcW w:w="1160" w:type="dxa"/>
            <w:shd w:val="clear" w:color="auto" w:fill="auto"/>
            <w:noWrap/>
            <w:vAlign w:val="center"/>
            <w:hideMark/>
          </w:tcPr>
          <w:p w:rsidR="00C90843" w:rsidRPr="001F4FF6" w:rsidRDefault="00C90843" w:rsidP="00B211B4">
            <w:pPr>
              <w:jc w:val="right"/>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0</w:t>
            </w:r>
          </w:p>
        </w:tc>
        <w:tc>
          <w:tcPr>
            <w:tcW w:w="1460" w:type="dxa"/>
            <w:shd w:val="clear" w:color="auto" w:fill="auto"/>
            <w:noWrap/>
            <w:vAlign w:val="center"/>
            <w:hideMark/>
          </w:tcPr>
          <w:p w:rsidR="00C90843" w:rsidRPr="001F4FF6" w:rsidRDefault="00C90843" w:rsidP="00B211B4">
            <w:pPr>
              <w:jc w:val="right"/>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302,707</w:t>
            </w:r>
          </w:p>
        </w:tc>
        <w:tc>
          <w:tcPr>
            <w:tcW w:w="2736"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Manglar, vegetación hidrófila, pastizal y selva perennifolia.</w:t>
            </w:r>
          </w:p>
        </w:tc>
      </w:tr>
      <w:tr w:rsidR="00C90843" w:rsidRPr="001F4FF6" w:rsidTr="00B211B4">
        <w:trPr>
          <w:trHeight w:val="552"/>
          <w:jc w:val="center"/>
        </w:trPr>
        <w:tc>
          <w:tcPr>
            <w:tcW w:w="2343"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APFF Cañón del Usumacinta</w:t>
            </w:r>
          </w:p>
        </w:tc>
        <w:tc>
          <w:tcPr>
            <w:tcW w:w="1100" w:type="dxa"/>
            <w:shd w:val="clear" w:color="auto" w:fill="auto"/>
            <w:noWrap/>
            <w:vAlign w:val="bottom"/>
            <w:hideMark/>
          </w:tcPr>
          <w:p w:rsidR="00C90843" w:rsidRPr="001F4FF6" w:rsidRDefault="00C90843" w:rsidP="00B211B4">
            <w:pPr>
              <w:jc w:val="right"/>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46,128</w:t>
            </w:r>
          </w:p>
        </w:tc>
        <w:tc>
          <w:tcPr>
            <w:tcW w:w="1160" w:type="dxa"/>
            <w:shd w:val="clear" w:color="auto" w:fill="auto"/>
            <w:noWrap/>
            <w:vAlign w:val="bottom"/>
            <w:hideMark/>
          </w:tcPr>
          <w:p w:rsidR="00C90843" w:rsidRPr="001F4FF6" w:rsidRDefault="00C90843" w:rsidP="00B211B4">
            <w:pPr>
              <w:jc w:val="right"/>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0</w:t>
            </w:r>
          </w:p>
        </w:tc>
        <w:tc>
          <w:tcPr>
            <w:tcW w:w="1460" w:type="dxa"/>
            <w:shd w:val="clear" w:color="auto" w:fill="auto"/>
            <w:noWrap/>
            <w:vAlign w:val="bottom"/>
            <w:hideMark/>
          </w:tcPr>
          <w:p w:rsidR="00C90843" w:rsidRPr="001F4FF6" w:rsidRDefault="00C90843" w:rsidP="00B211B4">
            <w:pPr>
              <w:jc w:val="right"/>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46,128</w:t>
            </w:r>
          </w:p>
        </w:tc>
        <w:tc>
          <w:tcPr>
            <w:tcW w:w="2736"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 xml:space="preserve">Selva baja espinosa, selva alta perennifolia y vegetación hidrófila. </w:t>
            </w:r>
          </w:p>
        </w:tc>
      </w:tr>
      <w:tr w:rsidR="00C90843" w:rsidRPr="001F4FF6" w:rsidTr="00B211B4">
        <w:trPr>
          <w:trHeight w:val="300"/>
          <w:jc w:val="center"/>
        </w:trPr>
        <w:tc>
          <w:tcPr>
            <w:tcW w:w="2343" w:type="dxa"/>
            <w:shd w:val="clear" w:color="auto" w:fill="auto"/>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r w:rsidRPr="001F4FF6">
              <w:rPr>
                <w:rFonts w:ascii="Lato" w:eastAsia="Times New Roman" w:hAnsi="Lato" w:cs="Calibri"/>
                <w:b/>
                <w:bCs/>
                <w:color w:val="595959" w:themeColor="text1" w:themeTint="A6"/>
                <w:sz w:val="20"/>
                <w:szCs w:val="20"/>
                <w:lang w:val="es-ES" w:eastAsia="es-MX"/>
              </w:rPr>
              <w:t xml:space="preserve">Total </w:t>
            </w:r>
          </w:p>
        </w:tc>
        <w:tc>
          <w:tcPr>
            <w:tcW w:w="1100" w:type="dxa"/>
            <w:shd w:val="clear" w:color="auto" w:fill="auto"/>
            <w:noWrap/>
            <w:vAlign w:val="bottom"/>
            <w:hideMark/>
          </w:tcPr>
          <w:p w:rsidR="00C90843" w:rsidRPr="001F4FF6" w:rsidRDefault="00C90843" w:rsidP="00B211B4">
            <w:pPr>
              <w:jc w:val="right"/>
              <w:rPr>
                <w:rFonts w:ascii="Lato" w:eastAsia="Times New Roman" w:hAnsi="Lato" w:cs="Calibri"/>
                <w:b/>
                <w:bCs/>
                <w:color w:val="595959" w:themeColor="text1" w:themeTint="A6"/>
                <w:sz w:val="20"/>
                <w:szCs w:val="20"/>
                <w:lang w:val="es-ES" w:eastAsia="es-MX"/>
              </w:rPr>
            </w:pPr>
            <w:r w:rsidRPr="001F4FF6">
              <w:rPr>
                <w:rFonts w:ascii="Lato" w:eastAsia="Times New Roman" w:hAnsi="Lato" w:cs="Calibri"/>
                <w:b/>
                <w:bCs/>
                <w:color w:val="595959" w:themeColor="text1" w:themeTint="A6"/>
                <w:sz w:val="20"/>
                <w:szCs w:val="20"/>
                <w:lang w:val="es-ES" w:eastAsia="es-MX"/>
              </w:rPr>
              <w:t>3,331,624</w:t>
            </w:r>
          </w:p>
        </w:tc>
        <w:tc>
          <w:tcPr>
            <w:tcW w:w="1160" w:type="dxa"/>
            <w:shd w:val="clear" w:color="auto" w:fill="auto"/>
            <w:noWrap/>
            <w:vAlign w:val="bottom"/>
            <w:hideMark/>
          </w:tcPr>
          <w:p w:rsidR="00C90843" w:rsidRPr="001F4FF6" w:rsidRDefault="00C90843" w:rsidP="00B211B4">
            <w:pPr>
              <w:jc w:val="right"/>
              <w:rPr>
                <w:rFonts w:ascii="Lato" w:eastAsia="Times New Roman" w:hAnsi="Lato" w:cs="Calibri"/>
                <w:b/>
                <w:bCs/>
                <w:color w:val="595959" w:themeColor="text1" w:themeTint="A6"/>
                <w:sz w:val="20"/>
                <w:szCs w:val="20"/>
                <w:lang w:val="es-ES" w:eastAsia="es-MX"/>
              </w:rPr>
            </w:pPr>
            <w:r w:rsidRPr="001F4FF6">
              <w:rPr>
                <w:rFonts w:ascii="Lato" w:eastAsia="Times New Roman" w:hAnsi="Lato" w:cs="Calibri"/>
                <w:b/>
                <w:bCs/>
                <w:color w:val="595959" w:themeColor="text1" w:themeTint="A6"/>
                <w:sz w:val="20"/>
                <w:szCs w:val="20"/>
                <w:lang w:val="es-ES" w:eastAsia="es-MX"/>
              </w:rPr>
              <w:t>96,075</w:t>
            </w:r>
          </w:p>
        </w:tc>
        <w:tc>
          <w:tcPr>
            <w:tcW w:w="1460" w:type="dxa"/>
            <w:shd w:val="clear" w:color="auto" w:fill="auto"/>
            <w:noWrap/>
            <w:vAlign w:val="bottom"/>
            <w:hideMark/>
          </w:tcPr>
          <w:p w:rsidR="00C90843" w:rsidRPr="001F4FF6" w:rsidRDefault="00C90843" w:rsidP="00B211B4">
            <w:pPr>
              <w:jc w:val="right"/>
              <w:rPr>
                <w:rFonts w:ascii="Lato" w:eastAsia="Times New Roman" w:hAnsi="Lato" w:cs="Calibri"/>
                <w:b/>
                <w:bCs/>
                <w:color w:val="595959" w:themeColor="text1" w:themeTint="A6"/>
                <w:sz w:val="20"/>
                <w:szCs w:val="20"/>
                <w:lang w:val="es-ES" w:eastAsia="es-MX"/>
              </w:rPr>
            </w:pPr>
            <w:r w:rsidRPr="001F4FF6">
              <w:rPr>
                <w:rFonts w:ascii="Lato" w:eastAsia="Times New Roman" w:hAnsi="Lato" w:cs="Calibri"/>
                <w:b/>
                <w:bCs/>
                <w:color w:val="595959" w:themeColor="text1" w:themeTint="A6"/>
                <w:sz w:val="20"/>
                <w:szCs w:val="20"/>
                <w:lang w:val="es-ES" w:eastAsia="es-MX"/>
              </w:rPr>
              <w:t>3,427,699</w:t>
            </w:r>
          </w:p>
        </w:tc>
        <w:tc>
          <w:tcPr>
            <w:tcW w:w="2736" w:type="dxa"/>
            <w:shd w:val="clear" w:color="auto" w:fill="auto"/>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r w:rsidRPr="001F4FF6">
              <w:rPr>
                <w:rFonts w:ascii="Lato" w:eastAsia="Times New Roman" w:hAnsi="Lato" w:cs="Calibri"/>
                <w:b/>
                <w:bCs/>
                <w:color w:val="595959" w:themeColor="text1" w:themeTint="A6"/>
                <w:sz w:val="20"/>
                <w:szCs w:val="20"/>
                <w:lang w:val="es-ES" w:eastAsia="es-MX"/>
              </w:rPr>
              <w:t> </w:t>
            </w:r>
          </w:p>
        </w:tc>
      </w:tr>
      <w:bookmarkEnd w:id="19"/>
      <w:bookmarkEnd w:id="20"/>
    </w:tbl>
    <w:p w:rsidR="00C90843" w:rsidRPr="001F4FF6" w:rsidRDefault="00C90843" w:rsidP="00C90843">
      <w:pPr>
        <w:keepLines/>
        <w:spacing w:beforeLines="120" w:before="288" w:afterLines="120" w:after="288" w:line="288" w:lineRule="auto"/>
        <w:jc w:val="both"/>
        <w:rPr>
          <w:rFonts w:ascii="Lato" w:hAnsi="Lato"/>
          <w:color w:val="595959" w:themeColor="text1" w:themeTint="A6"/>
          <w:sz w:val="22"/>
          <w:szCs w:val="22"/>
          <w:lang w:val="es-ES"/>
        </w:rPr>
      </w:pPr>
    </w:p>
    <w:p w:rsidR="00C90843" w:rsidRPr="001F4FF6" w:rsidRDefault="00C90843" w:rsidP="00C90843">
      <w:pPr>
        <w:keepLines/>
        <w:spacing w:beforeLines="120" w:before="288" w:afterLines="120" w:after="288" w:line="288" w:lineRule="auto"/>
        <w:jc w:val="both"/>
        <w:rPr>
          <w:rFonts w:ascii="Lato" w:hAnsi="Lato"/>
          <w:b/>
          <w:bCs/>
          <w:color w:val="595959" w:themeColor="text1" w:themeTint="A6"/>
          <w:sz w:val="22"/>
          <w:szCs w:val="22"/>
          <w:lang w:val="es-ES"/>
        </w:rPr>
      </w:pPr>
      <w:r w:rsidRPr="001F4FF6">
        <w:rPr>
          <w:rFonts w:ascii="Lato" w:hAnsi="Lato"/>
          <w:b/>
          <w:bCs/>
          <w:color w:val="595959" w:themeColor="text1" w:themeTint="A6"/>
          <w:sz w:val="22"/>
          <w:szCs w:val="22"/>
          <w:lang w:val="es-ES"/>
        </w:rPr>
        <w:t>Estrategias de trabajo Sierra y Mar</w:t>
      </w:r>
    </w:p>
    <w:p w:rsidR="00C90843" w:rsidRDefault="00C90843" w:rsidP="00C90843">
      <w:pPr>
        <w:keepLines/>
        <w:spacing w:beforeLines="120" w:before="288" w:afterLines="120" w:after="288" w:line="288" w:lineRule="auto"/>
        <w:jc w:val="both"/>
        <w:rPr>
          <w:rFonts w:ascii="Lato" w:hAnsi="Lato"/>
          <w:color w:val="595959" w:themeColor="text1" w:themeTint="A6"/>
          <w:sz w:val="22"/>
          <w:szCs w:val="22"/>
          <w:lang w:val="es-ES"/>
        </w:rPr>
      </w:pPr>
      <w:r w:rsidRPr="001F4FF6">
        <w:rPr>
          <w:rFonts w:ascii="Lato" w:hAnsi="Lato"/>
          <w:color w:val="595959" w:themeColor="text1" w:themeTint="A6"/>
          <w:sz w:val="22"/>
          <w:szCs w:val="22"/>
          <w:lang w:val="es-ES"/>
        </w:rPr>
        <w:t>La gestión de proyecto contempla el seguimiento a la inversión del patrimonio de Sierra y Mar, los reportes de avances a CTFANP, la aplicación de las salvaguardas sociales y ambientales del proyecto, las auditorías de Sierra y Mar en tiempo y forma, y la donación formal a favor de Conanp de bienes muebles e inmuebles adquiridos.</w:t>
      </w:r>
    </w:p>
    <w:p w:rsidR="00C90843" w:rsidRPr="001F4FF6" w:rsidRDefault="00C90843" w:rsidP="00C90843">
      <w:pPr>
        <w:keepLines/>
        <w:spacing w:beforeLines="120" w:before="288" w:afterLines="120" w:after="288" w:line="288" w:lineRule="auto"/>
        <w:jc w:val="both"/>
        <w:rPr>
          <w:rFonts w:ascii="Lato" w:hAnsi="Lato"/>
          <w:color w:val="595959" w:themeColor="text1" w:themeTint="A6"/>
          <w:sz w:val="22"/>
          <w:szCs w:val="22"/>
          <w:lang w:val="es-ES"/>
        </w:rPr>
      </w:pPr>
      <w:r>
        <w:rPr>
          <w:rFonts w:ascii="Lato" w:hAnsi="Lato"/>
          <w:color w:val="595959" w:themeColor="text1" w:themeTint="A6"/>
          <w:sz w:val="22"/>
          <w:szCs w:val="22"/>
          <w:lang w:val="es-ES"/>
        </w:rPr>
        <w:lastRenderedPageBreak/>
        <w:t xml:space="preserve"> </w:t>
      </w:r>
      <w:r w:rsidRPr="001F4FF6">
        <w:rPr>
          <w:rFonts w:ascii="Lato" w:hAnsi="Lato"/>
          <w:color w:val="595959" w:themeColor="text1" w:themeTint="A6"/>
          <w:sz w:val="22"/>
          <w:szCs w:val="22"/>
          <w:lang w:val="es-ES"/>
        </w:rPr>
        <w:t>El proyecto consta de cuatro componentes de trabajo. El Componente 1, que consiste en el fortalecimiento de la gestión de las ANP para un manejo efectivo, es ejecutado por Conanp y FMCN a través del esquema FANP. El Componente 2 es liderado por Conanp, quien financia y asegura la ejecución de este componente como contrapartida al proyecto, a través de la implementación de programas de subsidios federales diseñados para el manejo sustentable de los recursos naturales. El Componente 3 promueve la sostenibilidad financiera de las ANP federales y es ejecutado principalmente por FMCN en colaboración con Conanp. Finalmente, el Componente 4 contempla el fortalecimiento a Conanp en temas transversales como la comunicación del proyecto y desarrollo de capacidades, así como el monitoreo y evaluación del proyecto. Los componentes de Sierra y Mar están resumidos a continuación:</w:t>
      </w:r>
    </w:p>
    <w:p w:rsidR="00C90843" w:rsidRPr="001F4FF6" w:rsidRDefault="00C90843" w:rsidP="00C90843">
      <w:pPr>
        <w:keepLines/>
        <w:spacing w:beforeLines="120" w:before="288" w:afterLines="120" w:after="288" w:line="288" w:lineRule="auto"/>
        <w:jc w:val="both"/>
        <w:rPr>
          <w:rFonts w:ascii="Lato" w:hAnsi="Lato"/>
          <w:b/>
          <w:bCs/>
          <w:i/>
          <w:iCs/>
          <w:color w:val="595959" w:themeColor="text1" w:themeTint="A6"/>
          <w:sz w:val="22"/>
          <w:szCs w:val="22"/>
          <w:lang w:val="es-ES"/>
        </w:rPr>
      </w:pPr>
      <w:r w:rsidRPr="001F4FF6">
        <w:rPr>
          <w:rFonts w:ascii="Lato" w:hAnsi="Lato"/>
          <w:b/>
          <w:bCs/>
          <w:i/>
          <w:iCs/>
          <w:color w:val="595959" w:themeColor="text1" w:themeTint="A6"/>
          <w:sz w:val="22"/>
          <w:szCs w:val="22"/>
          <w:lang w:val="es-ES"/>
        </w:rPr>
        <w:t>Componente 1. Se ha fortalecido la capacidad de gestión de las ANP en la zona de intervención del Proyecto.</w:t>
      </w:r>
    </w:p>
    <w:p w:rsidR="00C90843" w:rsidRPr="001F4FF6" w:rsidRDefault="00C90843" w:rsidP="00C90843">
      <w:pPr>
        <w:keepLines/>
        <w:spacing w:beforeLines="120" w:before="288" w:afterLines="120" w:after="288" w:line="288" w:lineRule="auto"/>
        <w:jc w:val="both"/>
        <w:rPr>
          <w:rFonts w:ascii="Lato" w:hAnsi="Lato"/>
          <w:color w:val="595959" w:themeColor="text1" w:themeTint="A6"/>
          <w:sz w:val="22"/>
          <w:szCs w:val="22"/>
          <w:lang w:val="es-ES"/>
        </w:rPr>
      </w:pPr>
      <w:r w:rsidRPr="001F4FF6">
        <w:rPr>
          <w:rFonts w:ascii="Lato" w:hAnsi="Lato"/>
          <w:color w:val="595959" w:themeColor="text1" w:themeTint="A6"/>
          <w:sz w:val="22"/>
          <w:szCs w:val="22"/>
          <w:lang w:val="es-ES"/>
        </w:rPr>
        <w:t>Aumento en la efectividad de manejo de las ANP a través de la implementación de actividades estratégicas para la conservación de la biodiversidad financiadas con recursos del FANP, e incluidas en los POA. Además de la adquisición de bienes muebles e inmuebles, consultorías y servicios con base en el Plan Operativo General del proyecto (POG), cuyo costo es cubierto con los rendimientos del patrimonio del proyecto Sierra y Mar.</w:t>
      </w:r>
    </w:p>
    <w:p w:rsidR="00C90843" w:rsidRPr="001F4FF6" w:rsidRDefault="00C90843" w:rsidP="00C90843">
      <w:pPr>
        <w:keepLines/>
        <w:spacing w:beforeLines="120" w:before="288" w:afterLines="120" w:after="288" w:line="288" w:lineRule="auto"/>
        <w:jc w:val="both"/>
        <w:rPr>
          <w:rFonts w:ascii="Lato" w:hAnsi="Lato"/>
          <w:b/>
          <w:bCs/>
          <w:i/>
          <w:iCs/>
          <w:color w:val="595959" w:themeColor="text1" w:themeTint="A6"/>
          <w:sz w:val="22"/>
          <w:szCs w:val="22"/>
          <w:lang w:val="es-ES"/>
        </w:rPr>
      </w:pPr>
      <w:r w:rsidRPr="001F4FF6">
        <w:rPr>
          <w:rFonts w:ascii="Lato" w:hAnsi="Lato"/>
          <w:b/>
          <w:bCs/>
          <w:i/>
          <w:iCs/>
          <w:color w:val="595959" w:themeColor="text1" w:themeTint="A6"/>
          <w:sz w:val="22"/>
          <w:szCs w:val="22"/>
          <w:lang w:val="es-ES"/>
        </w:rPr>
        <w:t xml:space="preserve">Componente 2. Se ha logrado fortalecer las iniciativas productivas comunitarias y se ha conseguido mayor participación de los actores clave en la conservación y los beneficios derivados del uso de la biodiversidad. </w:t>
      </w:r>
    </w:p>
    <w:p w:rsidR="00C90843" w:rsidRPr="001F4FF6" w:rsidRDefault="00C90843" w:rsidP="00C90843">
      <w:pPr>
        <w:keepLines/>
        <w:spacing w:beforeLines="120" w:before="288" w:afterLines="120" w:after="288" w:line="288" w:lineRule="auto"/>
        <w:jc w:val="both"/>
        <w:rPr>
          <w:rFonts w:ascii="Lato" w:hAnsi="Lato"/>
          <w:color w:val="595959" w:themeColor="text1" w:themeTint="A6"/>
          <w:sz w:val="22"/>
          <w:szCs w:val="22"/>
          <w:lang w:val="es-ES"/>
        </w:rPr>
      </w:pPr>
      <w:r w:rsidRPr="001F4FF6">
        <w:rPr>
          <w:rFonts w:ascii="Lato" w:hAnsi="Lato"/>
          <w:color w:val="595959" w:themeColor="text1" w:themeTint="A6"/>
          <w:sz w:val="22"/>
          <w:szCs w:val="22"/>
          <w:lang w:val="es-ES"/>
        </w:rPr>
        <w:t>Fortalecimiento de las iniciativas productivas comunitarias derivadas del uso de la biodiversidad e incremento de la participación de los actores clave e instancias de coordinación para la conservación de las ANP del proyecto. Aunque el componente es financiado e implementado principalmente por Conanp, una Unidad Coordinadora del Proyecto (UCP) da seguimiento al proceso de selección de proyectos, alinea esfuerzos e integra la información de sus resultados para el avance en el cumplimiento de los objetivos de Sierra y Mar.</w:t>
      </w:r>
    </w:p>
    <w:p w:rsidR="00C90843" w:rsidRDefault="00C90843" w:rsidP="00C90843">
      <w:pPr>
        <w:keepLines/>
        <w:spacing w:beforeLines="120" w:before="288" w:afterLines="120" w:after="288" w:line="288" w:lineRule="auto"/>
        <w:jc w:val="both"/>
        <w:rPr>
          <w:rFonts w:ascii="Lato" w:hAnsi="Lato"/>
          <w:b/>
          <w:bCs/>
          <w:i/>
          <w:iCs/>
          <w:color w:val="595959" w:themeColor="text1" w:themeTint="A6"/>
          <w:sz w:val="22"/>
          <w:szCs w:val="22"/>
          <w:lang w:val="es-ES"/>
        </w:rPr>
      </w:pPr>
    </w:p>
    <w:p w:rsidR="00C90843" w:rsidRPr="001F4FF6" w:rsidRDefault="00C90843" w:rsidP="00C90843">
      <w:pPr>
        <w:keepLines/>
        <w:spacing w:beforeLines="120" w:before="288" w:afterLines="120" w:after="288" w:line="288" w:lineRule="auto"/>
        <w:jc w:val="both"/>
        <w:rPr>
          <w:rFonts w:ascii="Lato" w:hAnsi="Lato"/>
          <w:b/>
          <w:bCs/>
          <w:i/>
          <w:iCs/>
          <w:color w:val="595959" w:themeColor="text1" w:themeTint="A6"/>
          <w:sz w:val="22"/>
          <w:szCs w:val="22"/>
          <w:lang w:val="es-ES"/>
        </w:rPr>
      </w:pPr>
      <w:r w:rsidRPr="001F4FF6">
        <w:rPr>
          <w:rFonts w:ascii="Lato" w:hAnsi="Lato"/>
          <w:b/>
          <w:bCs/>
          <w:i/>
          <w:iCs/>
          <w:color w:val="595959" w:themeColor="text1" w:themeTint="A6"/>
          <w:sz w:val="22"/>
          <w:szCs w:val="22"/>
          <w:lang w:val="es-ES"/>
        </w:rPr>
        <w:lastRenderedPageBreak/>
        <w:t>Componente 3. Se ha promovido la sostenibilidad financiera de las ANP federales y el fortalecimiento de las capacidades institucionales de CONANP.</w:t>
      </w:r>
    </w:p>
    <w:p w:rsidR="00C90843" w:rsidRPr="001F4FF6" w:rsidRDefault="00C90843" w:rsidP="00C90843">
      <w:pPr>
        <w:keepLines/>
        <w:spacing w:beforeLines="120" w:before="288" w:afterLines="120" w:after="288" w:line="288" w:lineRule="auto"/>
        <w:jc w:val="both"/>
        <w:rPr>
          <w:rFonts w:ascii="Lato" w:hAnsi="Lato"/>
          <w:color w:val="595959" w:themeColor="text1" w:themeTint="A6"/>
          <w:sz w:val="22"/>
          <w:szCs w:val="22"/>
          <w:lang w:val="es-ES"/>
        </w:rPr>
      </w:pPr>
      <w:r w:rsidRPr="001F4FF6">
        <w:rPr>
          <w:rFonts w:ascii="Lato" w:hAnsi="Lato"/>
          <w:color w:val="595959" w:themeColor="text1" w:themeTint="A6"/>
          <w:sz w:val="22"/>
          <w:szCs w:val="22"/>
          <w:lang w:val="es-ES"/>
        </w:rPr>
        <w:t xml:space="preserve">Promoción de la sostenibilidad financiera de las ANP del proyecto a cargo de FMCN, quien dará seguimiento puntual al manejo financiero del capital del proyecto Sierra y Mar, además de fortalecer las capacidades institucionales relacionadas con la materia y apoyar en la elaboración de planes de negocio. </w:t>
      </w:r>
    </w:p>
    <w:p w:rsidR="00C90843" w:rsidRPr="001F4FF6" w:rsidRDefault="00C90843" w:rsidP="00C90843">
      <w:pPr>
        <w:keepLines/>
        <w:spacing w:beforeLines="120" w:before="288" w:afterLines="120" w:after="288" w:line="288" w:lineRule="auto"/>
        <w:jc w:val="both"/>
        <w:rPr>
          <w:rFonts w:ascii="Lato" w:hAnsi="Lato"/>
          <w:b/>
          <w:bCs/>
          <w:i/>
          <w:iCs/>
          <w:color w:val="595959" w:themeColor="text1" w:themeTint="A6"/>
          <w:sz w:val="22"/>
          <w:szCs w:val="22"/>
          <w:lang w:val="es-ES"/>
        </w:rPr>
      </w:pPr>
      <w:r w:rsidRPr="001F4FF6">
        <w:rPr>
          <w:rFonts w:ascii="Lato" w:hAnsi="Lato"/>
          <w:b/>
          <w:bCs/>
          <w:i/>
          <w:iCs/>
          <w:color w:val="595959" w:themeColor="text1" w:themeTint="A6"/>
          <w:sz w:val="22"/>
          <w:szCs w:val="22"/>
          <w:lang w:val="es-ES"/>
        </w:rPr>
        <w:t>Componente 4. Temas transversales y supervisión del proyecto.</w:t>
      </w:r>
    </w:p>
    <w:p w:rsidR="00C90843" w:rsidRDefault="00C90843" w:rsidP="00C90843">
      <w:pPr>
        <w:keepLines/>
        <w:spacing w:beforeLines="120" w:before="288" w:afterLines="120" w:after="288" w:line="288" w:lineRule="auto"/>
        <w:jc w:val="both"/>
        <w:rPr>
          <w:rFonts w:ascii="Lato" w:hAnsi="Lato"/>
          <w:color w:val="595959" w:themeColor="text1" w:themeTint="A6"/>
          <w:sz w:val="22"/>
          <w:szCs w:val="22"/>
          <w:lang w:val="es-ES"/>
        </w:rPr>
      </w:pPr>
      <w:r w:rsidRPr="001F4FF6">
        <w:rPr>
          <w:rFonts w:ascii="Lato" w:hAnsi="Lato"/>
          <w:color w:val="595959" w:themeColor="text1" w:themeTint="A6"/>
          <w:sz w:val="22"/>
          <w:szCs w:val="22"/>
          <w:lang w:val="es-ES"/>
        </w:rPr>
        <w:t>Fortalecimiento a Conanp en temas de desarrollo de capacidades y comunicación del proyecto mediante una estrategia que difunda los principales resultados. Incluye también la supervisión del proyecto, los reportes de POA en Sisep, la publicación de las experiencias, las lecciones aprendidas del proyecto, y el desarrollo de capacidades del personal de las ANP beneficiaria</w:t>
      </w:r>
      <w:r>
        <w:rPr>
          <w:rFonts w:ascii="Lato" w:hAnsi="Lato"/>
          <w:color w:val="595959" w:themeColor="text1" w:themeTint="A6"/>
          <w:sz w:val="22"/>
          <w:szCs w:val="22"/>
          <w:lang w:val="es-ES"/>
        </w:rPr>
        <w:t>s.</w:t>
      </w:r>
    </w:p>
    <w:p w:rsidR="00C90843" w:rsidRPr="00D3511C" w:rsidRDefault="00C90843" w:rsidP="00C90843">
      <w:pPr>
        <w:keepLines/>
        <w:spacing w:beforeLines="120" w:before="288" w:afterLines="120" w:after="288" w:line="288" w:lineRule="auto"/>
        <w:jc w:val="both"/>
        <w:rPr>
          <w:rFonts w:ascii="Lato" w:hAnsi="Lato"/>
          <w:color w:val="595959" w:themeColor="text1" w:themeTint="A6"/>
          <w:sz w:val="22"/>
          <w:szCs w:val="22"/>
          <w:lang w:val="es-ES"/>
        </w:rPr>
      </w:pPr>
      <w:r w:rsidRPr="001F4FF6">
        <w:rPr>
          <w:rFonts w:ascii="Lato" w:hAnsi="Lato"/>
          <w:b/>
          <w:bCs/>
          <w:color w:val="595959" w:themeColor="text1" w:themeTint="A6"/>
          <w:sz w:val="22"/>
          <w:szCs w:val="22"/>
          <w:lang w:val="es-ES"/>
        </w:rPr>
        <w:t>Arreglos institucionales para la ejecución de Sierra y Mar</w:t>
      </w:r>
    </w:p>
    <w:p w:rsidR="00C90843" w:rsidRPr="001026BD" w:rsidRDefault="00C90843" w:rsidP="00C90843">
      <w:pPr>
        <w:keepLines/>
        <w:spacing w:beforeLines="120" w:before="288" w:afterLines="120" w:after="288" w:line="288" w:lineRule="auto"/>
        <w:jc w:val="both"/>
        <w:rPr>
          <w:rFonts w:ascii="Lato" w:hAnsi="Lato"/>
          <w:b/>
          <w:bCs/>
          <w:color w:val="595959" w:themeColor="text1" w:themeTint="A6"/>
          <w:sz w:val="22"/>
          <w:szCs w:val="22"/>
          <w:lang w:val="es-ES"/>
        </w:rPr>
      </w:pPr>
      <w:r w:rsidRPr="001F4FF6">
        <w:rPr>
          <w:rFonts w:ascii="Lato" w:hAnsi="Lato"/>
          <w:color w:val="595959" w:themeColor="text1" w:themeTint="A6"/>
          <w:sz w:val="22"/>
          <w:szCs w:val="22"/>
          <w:lang w:val="es-ES"/>
        </w:rPr>
        <w:t xml:space="preserve">El proyecto Sierra y Mar representa un esfuerzo de coordinación interinstitucional entre Conanp y FMCN, quienes identificaron la oportunidad de complementar recursos para contribuir al fortalecimiento de 14 ANP prioritarias. Los rendimientos de la aportación patrimonial de KfW a FMCN contribuyen a cubrir los costos de bienes muebles e inmuebles, y consultorías y servicios basados en el POG del proyecto. Por otro lado, el gasto corriente para cubrir actividades operativas estratégicas en las ANP, son cubiertas con los rendimientos del patrimonio de FANP y C6. Por lo anterior, el proyecto Sierra y Mar es un diseño novedoso e innovador que permite mejorar el manejo de las ANP. Conanp y FMCN definieron sus responsabilidades en el proyecto Sierra y Mar a través de un convenio de concertación firmado el 18 de octubre de 2018. La siguiente descripción resume las responsabilidades de cada institución: </w:t>
      </w:r>
    </w:p>
    <w:p w:rsidR="00C90843" w:rsidRPr="001F4FF6" w:rsidRDefault="00C90843" w:rsidP="00C90843">
      <w:pPr>
        <w:keepLines/>
        <w:spacing w:beforeLines="120" w:before="288" w:afterLines="120" w:after="288" w:line="288" w:lineRule="auto"/>
        <w:jc w:val="both"/>
        <w:rPr>
          <w:rFonts w:ascii="Lato" w:hAnsi="Lato"/>
          <w:color w:val="595959" w:themeColor="text1" w:themeTint="A6"/>
          <w:sz w:val="22"/>
          <w:szCs w:val="22"/>
          <w:lang w:val="es-ES"/>
        </w:rPr>
      </w:pPr>
      <w:r w:rsidRPr="001F4FF6">
        <w:rPr>
          <w:rFonts w:ascii="Lato" w:hAnsi="Lato"/>
          <w:color w:val="595959" w:themeColor="text1" w:themeTint="A6"/>
          <w:sz w:val="22"/>
          <w:szCs w:val="22"/>
          <w:lang w:val="es-ES"/>
        </w:rPr>
        <w:lastRenderedPageBreak/>
        <w:t>FMCN es la institución responsable de las siguientes tareas: a) manejo financiero del patrimonio del proyecto, asegurando mantener el valor real del mismo y conforme a su Política de Inversión y Gasto; b) administración de los recursos para el financiamiento de actividades estratégicas conforme a los POA elaborados por Conanp y bajo lo</w:t>
      </w:r>
      <w:r>
        <w:rPr>
          <w:rFonts w:ascii="Lato" w:hAnsi="Lato"/>
          <w:color w:val="595959" w:themeColor="text1" w:themeTint="A6"/>
          <w:sz w:val="22"/>
          <w:szCs w:val="22"/>
          <w:lang w:val="es-ES"/>
        </w:rPr>
        <w:t>s procedimientos de la sección cuarta del Manual de Operaciones de FMCN</w:t>
      </w:r>
      <w:r w:rsidRPr="001F4FF6">
        <w:rPr>
          <w:rFonts w:ascii="Lato" w:hAnsi="Lato"/>
          <w:color w:val="595959" w:themeColor="text1" w:themeTint="A6"/>
          <w:sz w:val="22"/>
          <w:szCs w:val="22"/>
          <w:lang w:val="es-ES"/>
        </w:rPr>
        <w:t>; y c) contratación y supervisión de la UCP, que está a</w:t>
      </w:r>
      <w:r>
        <w:rPr>
          <w:rFonts w:ascii="Lato" w:hAnsi="Lato"/>
          <w:color w:val="595959" w:themeColor="text1" w:themeTint="A6"/>
          <w:sz w:val="22"/>
          <w:szCs w:val="22"/>
          <w:lang w:val="es-ES"/>
        </w:rPr>
        <w:t>sociada a la Dirección del Área de Conservación</w:t>
      </w:r>
      <w:r w:rsidRPr="001F4FF6">
        <w:rPr>
          <w:rFonts w:ascii="Lato" w:hAnsi="Lato"/>
          <w:color w:val="595959" w:themeColor="text1" w:themeTint="A6"/>
          <w:sz w:val="22"/>
          <w:szCs w:val="22"/>
          <w:lang w:val="es-ES"/>
        </w:rPr>
        <w:t xml:space="preserve">, reporta al CTFANP, es responsable de supervisar la implementación del proyecto y específicamente, es la encargada de realizar los procesos de licitación y adquisición de bienes muebles e inmuebles, así como la contratación de servicios. </w:t>
      </w:r>
    </w:p>
    <w:p w:rsidR="00C90843" w:rsidRPr="004E03AE" w:rsidRDefault="00C90843" w:rsidP="00C90843">
      <w:pPr>
        <w:keepLines/>
        <w:spacing w:beforeLines="120" w:before="288" w:afterLines="120" w:after="288" w:line="288" w:lineRule="auto"/>
        <w:jc w:val="both"/>
        <w:rPr>
          <w:rFonts w:ascii="Lato" w:hAnsi="Lato"/>
          <w:color w:val="595959" w:themeColor="text1" w:themeTint="A6"/>
          <w:sz w:val="22"/>
          <w:szCs w:val="22"/>
          <w:lang w:val="es-ES"/>
        </w:rPr>
      </w:pPr>
      <w:r w:rsidRPr="001F4FF6">
        <w:rPr>
          <w:rFonts w:ascii="Lato" w:hAnsi="Lato"/>
          <w:color w:val="595959" w:themeColor="text1" w:themeTint="A6"/>
          <w:sz w:val="22"/>
          <w:szCs w:val="22"/>
          <w:lang w:val="es-ES"/>
        </w:rPr>
        <w:t>Conanp es la institución responsable de elaborar e implementar los POA en las 14 ANP del proyecto siguiendo los procedim</w:t>
      </w:r>
      <w:r>
        <w:rPr>
          <w:rFonts w:ascii="Lato" w:hAnsi="Lato"/>
          <w:color w:val="595959" w:themeColor="text1" w:themeTint="A6"/>
          <w:sz w:val="22"/>
          <w:szCs w:val="22"/>
          <w:lang w:val="es-ES"/>
        </w:rPr>
        <w:t>ientos establecidos en el Manual de Operaciones</w:t>
      </w:r>
      <w:r w:rsidRPr="001F4FF6">
        <w:rPr>
          <w:rFonts w:ascii="Lato" w:hAnsi="Lato"/>
          <w:color w:val="595959" w:themeColor="text1" w:themeTint="A6"/>
          <w:sz w:val="22"/>
          <w:szCs w:val="22"/>
          <w:lang w:val="es-ES"/>
        </w:rPr>
        <w:t xml:space="preserve"> y promoviendo la participación social como factor clave para un manejo efectivo; asegura contar con una plantilla básica a largo plazo en cada una de las ANP beneficiarias, y define el mecanismo para recibir en donación todos los bienes muebles e inmuebles adquiridos con rendimientos del patrimonio Sierra y Mar</w:t>
      </w:r>
    </w:p>
    <w:p w:rsidR="00C90843" w:rsidRPr="001F4FF6" w:rsidRDefault="00C90843" w:rsidP="00C90843">
      <w:pPr>
        <w:keepLines/>
        <w:spacing w:beforeLines="120" w:before="288" w:afterLines="120" w:after="288" w:line="288" w:lineRule="auto"/>
        <w:jc w:val="both"/>
        <w:rPr>
          <w:rFonts w:ascii="Lato" w:hAnsi="Lato"/>
          <w:b/>
          <w:bCs/>
          <w:color w:val="595959" w:themeColor="text1" w:themeTint="A6"/>
          <w:sz w:val="22"/>
          <w:szCs w:val="22"/>
          <w:lang w:val="es-ES"/>
        </w:rPr>
      </w:pPr>
      <w:r w:rsidRPr="001F4FF6">
        <w:rPr>
          <w:rFonts w:ascii="Lato" w:hAnsi="Lato"/>
          <w:b/>
          <w:bCs/>
          <w:color w:val="595959" w:themeColor="text1" w:themeTint="A6"/>
          <w:sz w:val="22"/>
          <w:szCs w:val="22"/>
          <w:lang w:val="es-ES"/>
        </w:rPr>
        <w:t>Adquisición de suministros y servicios</w:t>
      </w:r>
    </w:p>
    <w:p w:rsidR="00C90843" w:rsidRPr="001F4FF6" w:rsidRDefault="00C90843" w:rsidP="00C90843">
      <w:pPr>
        <w:keepLines/>
        <w:spacing w:beforeLines="120" w:before="288" w:afterLines="120" w:after="288" w:line="288" w:lineRule="auto"/>
        <w:jc w:val="both"/>
        <w:rPr>
          <w:rFonts w:ascii="Lato" w:hAnsi="Lato"/>
          <w:color w:val="595959" w:themeColor="text1" w:themeTint="A6"/>
          <w:sz w:val="22"/>
          <w:szCs w:val="22"/>
          <w:lang w:val="es-ES"/>
        </w:rPr>
      </w:pPr>
      <w:r w:rsidRPr="001F4FF6">
        <w:rPr>
          <w:rFonts w:ascii="Lato" w:hAnsi="Lato"/>
          <w:color w:val="595959" w:themeColor="text1" w:themeTint="A6"/>
          <w:sz w:val="22"/>
          <w:szCs w:val="22"/>
          <w:lang w:val="es-ES"/>
        </w:rPr>
        <w:t xml:space="preserve">Para la adquisición de suministros y servicios con cargo a los rendimientos del patrimonio, conforme al Acuerdo Separado en la sección 5. Adjudicación de los suministros y demás servicios, FMCN aplica las normas descritas en su Manual de Operaciones, las cuales no contradicen y están alineadas a las Directrices para la contratación de servicios de consultoría, obras, bienes, plantas industriales y servicios de no-consultoría en el marco de la Cooperación Financiera con países socios (Cuadro 5) de KfW. De manera exclusiva, el primer Plan de Adquisiciones del proyecto </w:t>
      </w:r>
      <w:r>
        <w:rPr>
          <w:rFonts w:ascii="Lato" w:hAnsi="Lato"/>
          <w:color w:val="595959" w:themeColor="text1" w:themeTint="A6"/>
          <w:sz w:val="22"/>
          <w:szCs w:val="22"/>
          <w:lang w:val="es-ES"/>
        </w:rPr>
        <w:t xml:space="preserve">contempló </w:t>
      </w:r>
      <w:r w:rsidRPr="001F4FF6">
        <w:rPr>
          <w:rFonts w:ascii="Lato" w:hAnsi="Lato"/>
          <w:color w:val="595959" w:themeColor="text1" w:themeTint="A6"/>
          <w:sz w:val="22"/>
          <w:szCs w:val="22"/>
          <w:lang w:val="es-ES"/>
        </w:rPr>
        <w:t xml:space="preserve">18 meses, actualizándose de forma anual en función del año calendario. </w:t>
      </w:r>
    </w:p>
    <w:p w:rsidR="00C90843" w:rsidRPr="001F4FF6" w:rsidRDefault="00C90843" w:rsidP="00C90843">
      <w:pPr>
        <w:keepLines/>
        <w:spacing w:beforeLines="120" w:before="288" w:afterLines="120" w:after="288" w:line="288" w:lineRule="auto"/>
        <w:jc w:val="both"/>
        <w:rPr>
          <w:rFonts w:ascii="Lato" w:hAnsi="Lato"/>
          <w:color w:val="595959" w:themeColor="text1" w:themeTint="A6"/>
          <w:sz w:val="22"/>
          <w:szCs w:val="22"/>
          <w:lang w:val="es-ES"/>
        </w:rPr>
      </w:pPr>
      <w:r w:rsidRPr="001F4FF6">
        <w:rPr>
          <w:rFonts w:ascii="Lato" w:hAnsi="Lato"/>
          <w:color w:val="595959" w:themeColor="text1" w:themeTint="A6"/>
          <w:sz w:val="22"/>
          <w:szCs w:val="22"/>
          <w:lang w:val="es-ES"/>
        </w:rPr>
        <w:t xml:space="preserve">Toda persona, física o moral, que participe en una licitación con cargo a los rendimientos del patrimonio del proyecto Sierra y Mar, deberá firmar una Declaración de Compromiso (ver al final de este apartado), dicha declaración deberá ser firmada por el representante legal de cada participante en la licitación. Toda adquisición deberá atender criterios de economía, eficiencia, sostenibilidad, transparencia, igualdad de oportunidades y equidad. </w:t>
      </w:r>
    </w:p>
    <w:p w:rsidR="00C90843" w:rsidRPr="001F4FF6" w:rsidRDefault="00C90843" w:rsidP="00C90843">
      <w:pPr>
        <w:keepLines/>
        <w:spacing w:beforeLines="120" w:before="288" w:afterLines="120" w:after="288" w:line="288" w:lineRule="auto"/>
        <w:jc w:val="both"/>
        <w:rPr>
          <w:rFonts w:ascii="Lato" w:hAnsi="Lato"/>
          <w:color w:val="595959" w:themeColor="text1" w:themeTint="A6"/>
          <w:sz w:val="22"/>
          <w:szCs w:val="22"/>
          <w:lang w:val="es-ES"/>
        </w:rPr>
        <w:sectPr w:rsidR="00C90843" w:rsidRPr="001F4FF6" w:rsidSect="00C90843">
          <w:headerReference w:type="default" r:id="rId10"/>
          <w:footerReference w:type="even" r:id="rId11"/>
          <w:footerReference w:type="default" r:id="rId12"/>
          <w:pgSz w:w="12240" w:h="15840"/>
          <w:pgMar w:top="2268" w:right="1701" w:bottom="1701" w:left="1701" w:header="709" w:footer="709" w:gutter="0"/>
          <w:cols w:space="708"/>
          <w:docGrid w:linePitch="360"/>
        </w:sectPr>
      </w:pPr>
      <w:r w:rsidRPr="001F4FF6">
        <w:rPr>
          <w:rFonts w:ascii="Lato" w:hAnsi="Lato"/>
          <w:color w:val="595959" w:themeColor="text1" w:themeTint="A6"/>
          <w:sz w:val="22"/>
          <w:szCs w:val="22"/>
          <w:lang w:val="es-ES"/>
        </w:rPr>
        <w:lastRenderedPageBreak/>
        <w:t>Para este proyecto y conforme a la proyección financiera de los rendimientos del fondo patrimonial, las adquisiciones de suministros y servicios no excederán los €$5 millones establecidos para realizar una Licitación Pública Internacional ni €$200 mil para una Licitación Pública Nacional; en caso de que sucediera, FMCN aplicará los procesos descr</w:t>
      </w:r>
      <w:r>
        <w:rPr>
          <w:rFonts w:ascii="Lato" w:hAnsi="Lato"/>
          <w:color w:val="595959" w:themeColor="text1" w:themeTint="A6"/>
          <w:sz w:val="22"/>
          <w:szCs w:val="22"/>
          <w:lang w:val="es-ES"/>
        </w:rPr>
        <w:t>itos en las directrices de KfW.</w:t>
      </w:r>
    </w:p>
    <w:p w:rsidR="00C90843" w:rsidRPr="00952EA7" w:rsidRDefault="00C90843" w:rsidP="00C90843">
      <w:pPr>
        <w:keepLines/>
        <w:spacing w:beforeLines="120" w:before="288" w:afterLines="120" w:after="288" w:line="288" w:lineRule="auto"/>
        <w:jc w:val="both"/>
        <w:rPr>
          <w:rFonts w:ascii="Lato" w:hAnsi="Lato"/>
          <w:color w:val="595959" w:themeColor="text1" w:themeTint="A6"/>
          <w:sz w:val="22"/>
          <w:szCs w:val="22"/>
          <w:lang w:val="es-ES"/>
        </w:rPr>
      </w:pPr>
      <w:r w:rsidRPr="001F4FF6">
        <w:rPr>
          <w:rFonts w:ascii="Lato" w:hAnsi="Lato"/>
          <w:b/>
          <w:bCs/>
          <w:color w:val="595959" w:themeColor="text1" w:themeTint="A6"/>
          <w:sz w:val="22"/>
          <w:szCs w:val="22"/>
          <w:lang w:val="es-ES"/>
        </w:rPr>
        <w:lastRenderedPageBreak/>
        <w:t>Cuadro 5.</w:t>
      </w:r>
      <w:r w:rsidRPr="001F4FF6">
        <w:rPr>
          <w:rFonts w:ascii="Lato" w:hAnsi="Lato"/>
          <w:color w:val="595959" w:themeColor="text1" w:themeTint="A6"/>
          <w:sz w:val="22"/>
          <w:szCs w:val="22"/>
          <w:lang w:val="es-ES"/>
        </w:rPr>
        <w:t xml:space="preserve"> Equivalencia de procesos y documentación para la adquisición de suministros y servicios de FMCN con las Directrices para la contratación de servicios de consultoría, obras, bienes, plantas industriales y servicios de no-consultoría en el marco de la Cooperación Finan</w:t>
      </w:r>
      <w:r>
        <w:rPr>
          <w:rFonts w:ascii="Lato" w:hAnsi="Lato"/>
          <w:color w:val="595959" w:themeColor="text1" w:themeTint="A6"/>
          <w:sz w:val="22"/>
          <w:szCs w:val="22"/>
          <w:lang w:val="es-ES"/>
        </w:rPr>
        <w:t>ciera con países socios de KfW.</w:t>
      </w:r>
    </w:p>
    <w:tbl>
      <w:tblPr>
        <w:tblW w:w="13892" w:type="dxa"/>
        <w:jc w:val="center"/>
        <w:tblBorders>
          <w:top w:val="single" w:sz="4" w:space="0" w:color="7F7F7F"/>
          <w:bottom w:val="single" w:sz="4" w:space="0" w:color="7F7F7F"/>
          <w:insideH w:val="single" w:sz="4" w:space="0" w:color="7F7F7F"/>
        </w:tblBorders>
        <w:tblCellMar>
          <w:left w:w="70" w:type="dxa"/>
          <w:right w:w="70" w:type="dxa"/>
        </w:tblCellMar>
        <w:tblLook w:val="04A0" w:firstRow="1" w:lastRow="0" w:firstColumn="1" w:lastColumn="0" w:noHBand="0" w:noVBand="1"/>
      </w:tblPr>
      <w:tblGrid>
        <w:gridCol w:w="1523"/>
        <w:gridCol w:w="2292"/>
        <w:gridCol w:w="1240"/>
        <w:gridCol w:w="1660"/>
        <w:gridCol w:w="3828"/>
        <w:gridCol w:w="3349"/>
      </w:tblGrid>
      <w:tr w:rsidR="00C90843" w:rsidRPr="001F4FF6" w:rsidTr="00B211B4">
        <w:trPr>
          <w:trHeight w:val="435"/>
          <w:jc w:val="center"/>
        </w:trPr>
        <w:tc>
          <w:tcPr>
            <w:tcW w:w="1380" w:type="dxa"/>
            <w:vMerge w:val="restart"/>
            <w:shd w:val="clear" w:color="auto" w:fill="D0CECE" w:themeFill="background2" w:themeFillShade="E6"/>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r w:rsidRPr="001F4FF6">
              <w:rPr>
                <w:rFonts w:ascii="Lato" w:eastAsia="Times New Roman" w:hAnsi="Lato" w:cs="Calibri"/>
                <w:b/>
                <w:bCs/>
                <w:color w:val="595959" w:themeColor="text1" w:themeTint="A6"/>
                <w:sz w:val="20"/>
                <w:szCs w:val="20"/>
                <w:lang w:val="es-ES" w:eastAsia="es-MX"/>
              </w:rPr>
              <w:t xml:space="preserve">Directrices de KfW </w:t>
            </w:r>
            <w:r w:rsidRPr="001F4FF6">
              <w:rPr>
                <w:rFonts w:ascii="Lato" w:eastAsia="Times New Roman" w:hAnsi="Lato" w:cs="Calibri"/>
                <w:b/>
                <w:bCs/>
                <w:color w:val="595959" w:themeColor="text1" w:themeTint="A6"/>
                <w:sz w:val="20"/>
                <w:szCs w:val="20"/>
                <w:lang w:val="es-ES" w:eastAsia="es-MX"/>
              </w:rPr>
              <w:br/>
              <w:t>a partir de enero 2019</w:t>
            </w:r>
          </w:p>
        </w:tc>
        <w:tc>
          <w:tcPr>
            <w:tcW w:w="2240" w:type="dxa"/>
            <w:vMerge w:val="restart"/>
            <w:shd w:val="clear" w:color="auto" w:fill="D0CECE" w:themeFill="background2" w:themeFillShade="E6"/>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r w:rsidRPr="001F4FF6">
              <w:rPr>
                <w:rFonts w:ascii="Lato" w:eastAsia="Times New Roman" w:hAnsi="Lato" w:cs="Calibri"/>
                <w:b/>
                <w:bCs/>
                <w:color w:val="595959" w:themeColor="text1" w:themeTint="A6"/>
                <w:sz w:val="20"/>
                <w:szCs w:val="20"/>
                <w:lang w:val="es-ES" w:eastAsia="es-MX"/>
              </w:rPr>
              <w:t>Tipo de Revisión KfW</w:t>
            </w:r>
            <w:r w:rsidRPr="001F4FF6">
              <w:rPr>
                <w:rFonts w:ascii="Lato" w:eastAsia="Times New Roman" w:hAnsi="Lato" w:cs="Calibri"/>
                <w:b/>
                <w:bCs/>
                <w:color w:val="595959" w:themeColor="text1" w:themeTint="A6"/>
                <w:sz w:val="20"/>
                <w:szCs w:val="20"/>
                <w:lang w:val="es-ES" w:eastAsia="es-MX"/>
              </w:rPr>
              <w:br/>
              <w:t>Completa/Simplificada</w:t>
            </w:r>
          </w:p>
        </w:tc>
        <w:tc>
          <w:tcPr>
            <w:tcW w:w="1240" w:type="dxa"/>
            <w:vMerge w:val="restart"/>
            <w:shd w:val="clear" w:color="auto" w:fill="D0CECE" w:themeFill="background2" w:themeFillShade="E6"/>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r w:rsidRPr="001F4FF6">
              <w:rPr>
                <w:rFonts w:ascii="Lato" w:eastAsia="Times New Roman" w:hAnsi="Lato" w:cs="Calibri"/>
                <w:b/>
                <w:bCs/>
                <w:color w:val="595959" w:themeColor="text1" w:themeTint="A6"/>
                <w:sz w:val="20"/>
                <w:szCs w:val="20"/>
                <w:lang w:val="es-ES" w:eastAsia="es-MX"/>
              </w:rPr>
              <w:t>Umbrales</w:t>
            </w:r>
            <w:r w:rsidRPr="001F4FF6">
              <w:rPr>
                <w:rFonts w:ascii="Lato" w:eastAsia="Times New Roman" w:hAnsi="Lato" w:cs="Calibri"/>
                <w:b/>
                <w:bCs/>
                <w:color w:val="595959" w:themeColor="text1" w:themeTint="A6"/>
                <w:sz w:val="20"/>
                <w:szCs w:val="20"/>
                <w:lang w:val="es-ES" w:eastAsia="es-MX"/>
              </w:rPr>
              <w:br/>
              <w:t>Euros</w:t>
            </w:r>
          </w:p>
        </w:tc>
        <w:tc>
          <w:tcPr>
            <w:tcW w:w="1660" w:type="dxa"/>
            <w:vMerge w:val="restart"/>
            <w:shd w:val="clear" w:color="auto" w:fill="D0CECE" w:themeFill="background2" w:themeFillShade="E6"/>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r w:rsidRPr="001F4FF6">
              <w:rPr>
                <w:rFonts w:ascii="Lato" w:eastAsia="Times New Roman" w:hAnsi="Lato" w:cs="Calibri"/>
                <w:b/>
                <w:bCs/>
                <w:color w:val="595959" w:themeColor="text1" w:themeTint="A6"/>
                <w:sz w:val="20"/>
                <w:szCs w:val="20"/>
                <w:lang w:val="es-ES" w:eastAsia="es-MX"/>
              </w:rPr>
              <w:t xml:space="preserve">Procedimiento de Licitación </w:t>
            </w:r>
          </w:p>
        </w:tc>
        <w:tc>
          <w:tcPr>
            <w:tcW w:w="7372" w:type="dxa"/>
            <w:gridSpan w:val="2"/>
            <w:shd w:val="clear" w:color="auto" w:fill="D0CECE" w:themeFill="background2" w:themeFillShade="E6"/>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r w:rsidRPr="001F4FF6">
              <w:rPr>
                <w:rFonts w:ascii="Lato" w:eastAsia="Times New Roman" w:hAnsi="Lato" w:cs="Calibri"/>
                <w:b/>
                <w:bCs/>
                <w:color w:val="595959" w:themeColor="text1" w:themeTint="A6"/>
                <w:sz w:val="20"/>
                <w:szCs w:val="20"/>
                <w:lang w:val="es-ES" w:eastAsia="es-MX"/>
              </w:rPr>
              <w:t>Procedimiento y documentos estándares de licitación</w:t>
            </w:r>
          </w:p>
        </w:tc>
      </w:tr>
      <w:tr w:rsidR="00C90843" w:rsidRPr="001F4FF6" w:rsidTr="00B211B4">
        <w:trPr>
          <w:trHeight w:val="735"/>
          <w:jc w:val="center"/>
        </w:trPr>
        <w:tc>
          <w:tcPr>
            <w:tcW w:w="1380" w:type="dxa"/>
            <w:vMerge/>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p>
        </w:tc>
        <w:tc>
          <w:tcPr>
            <w:tcW w:w="2240" w:type="dxa"/>
            <w:vMerge/>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p>
        </w:tc>
        <w:tc>
          <w:tcPr>
            <w:tcW w:w="1240" w:type="dxa"/>
            <w:vMerge/>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p>
        </w:tc>
        <w:tc>
          <w:tcPr>
            <w:tcW w:w="1660" w:type="dxa"/>
            <w:vMerge/>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p>
        </w:tc>
        <w:tc>
          <w:tcPr>
            <w:tcW w:w="3828" w:type="dxa"/>
            <w:shd w:val="clear" w:color="auto" w:fill="D0CECE" w:themeFill="background2" w:themeFillShade="E6"/>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r w:rsidRPr="001F4FF6">
              <w:rPr>
                <w:rFonts w:ascii="Lato" w:eastAsia="Times New Roman" w:hAnsi="Lato" w:cs="Calibri"/>
                <w:b/>
                <w:bCs/>
                <w:color w:val="595959" w:themeColor="text1" w:themeTint="A6"/>
                <w:sz w:val="20"/>
                <w:szCs w:val="20"/>
                <w:lang w:val="es-ES" w:eastAsia="es-MX"/>
              </w:rPr>
              <w:t>KfW</w:t>
            </w:r>
          </w:p>
        </w:tc>
        <w:tc>
          <w:tcPr>
            <w:tcW w:w="3544" w:type="dxa"/>
            <w:shd w:val="clear" w:color="auto" w:fill="D0CECE" w:themeFill="background2" w:themeFillShade="E6"/>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r w:rsidRPr="001F4FF6">
              <w:rPr>
                <w:rFonts w:ascii="Lato" w:eastAsia="Times New Roman" w:hAnsi="Lato" w:cs="Calibri"/>
                <w:b/>
                <w:bCs/>
                <w:color w:val="595959" w:themeColor="text1" w:themeTint="A6"/>
                <w:sz w:val="20"/>
                <w:szCs w:val="20"/>
                <w:lang w:val="es-ES" w:eastAsia="es-MX"/>
              </w:rPr>
              <w:t>FMCN</w:t>
            </w:r>
          </w:p>
        </w:tc>
      </w:tr>
      <w:tr w:rsidR="00C90843" w:rsidRPr="001F4FF6" w:rsidTr="00B211B4">
        <w:trPr>
          <w:trHeight w:val="600"/>
          <w:jc w:val="center"/>
        </w:trPr>
        <w:tc>
          <w:tcPr>
            <w:tcW w:w="1380" w:type="dxa"/>
            <w:vMerge w:val="restart"/>
            <w:shd w:val="clear" w:color="auto" w:fill="auto"/>
            <w:noWrap/>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r w:rsidRPr="001F4FF6">
              <w:rPr>
                <w:rFonts w:ascii="Lato" w:eastAsia="Times New Roman" w:hAnsi="Lato" w:cs="Calibri"/>
                <w:b/>
                <w:bCs/>
                <w:color w:val="595959" w:themeColor="text1" w:themeTint="A6"/>
                <w:sz w:val="20"/>
                <w:szCs w:val="20"/>
                <w:lang w:val="es-ES" w:eastAsia="es-MX"/>
              </w:rPr>
              <w:t>Obras</w:t>
            </w:r>
          </w:p>
        </w:tc>
        <w:tc>
          <w:tcPr>
            <w:tcW w:w="2240" w:type="dxa"/>
            <w:vMerge w:val="restart"/>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u w:val="single"/>
                <w:lang w:val="es-ES" w:eastAsia="es-MX"/>
              </w:rPr>
              <w:t>Previa</w:t>
            </w:r>
            <w:r w:rsidRPr="001F4FF6">
              <w:rPr>
                <w:rFonts w:ascii="Lato" w:eastAsia="Times New Roman" w:hAnsi="Lato" w:cs="Calibri"/>
                <w:color w:val="595959" w:themeColor="text1" w:themeTint="A6"/>
                <w:sz w:val="20"/>
                <w:szCs w:val="20"/>
                <w:lang w:val="es-ES" w:eastAsia="es-MX"/>
              </w:rPr>
              <w:t xml:space="preserve"> (Completa, para cada uno de los pasos del proceso de contratación).</w:t>
            </w:r>
          </w:p>
        </w:tc>
        <w:tc>
          <w:tcPr>
            <w:tcW w:w="1240" w:type="dxa"/>
            <w:shd w:val="clear" w:color="auto" w:fill="auto"/>
            <w:noWrap/>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 5 millones</w:t>
            </w:r>
          </w:p>
        </w:tc>
        <w:tc>
          <w:tcPr>
            <w:tcW w:w="1660"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Licitación pública internacional (LPI)</w:t>
            </w:r>
          </w:p>
        </w:tc>
        <w:tc>
          <w:tcPr>
            <w:tcW w:w="7372" w:type="dxa"/>
            <w:gridSpan w:val="2"/>
            <w:vMerge w:val="restart"/>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 xml:space="preserve">El proyecto de Sierra y Mar no tendrá obras mayores a 5 millones de euros. </w:t>
            </w:r>
          </w:p>
        </w:tc>
      </w:tr>
      <w:tr w:rsidR="00C90843" w:rsidRPr="001F4FF6" w:rsidTr="00B211B4">
        <w:trPr>
          <w:trHeight w:val="1668"/>
          <w:jc w:val="center"/>
        </w:trPr>
        <w:tc>
          <w:tcPr>
            <w:tcW w:w="1380" w:type="dxa"/>
            <w:vMerge/>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p>
        </w:tc>
        <w:tc>
          <w:tcPr>
            <w:tcW w:w="2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240" w:type="dxa"/>
            <w:shd w:val="clear" w:color="auto" w:fill="auto"/>
            <w:noWrap/>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&lt; 5 millones</w:t>
            </w:r>
          </w:p>
        </w:tc>
        <w:tc>
          <w:tcPr>
            <w:tcW w:w="1660"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Simplificada (Verificación, antes de empezar el proceso, a todos los documentos)</w:t>
            </w:r>
          </w:p>
        </w:tc>
        <w:tc>
          <w:tcPr>
            <w:tcW w:w="7372" w:type="dxa"/>
            <w:gridSpan w:val="2"/>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r>
      <w:tr w:rsidR="00C90843" w:rsidRPr="001F4FF6" w:rsidTr="00B211B4">
        <w:trPr>
          <w:trHeight w:val="1116"/>
          <w:jc w:val="center"/>
        </w:trPr>
        <w:tc>
          <w:tcPr>
            <w:tcW w:w="1380" w:type="dxa"/>
            <w:vMerge w:val="restart"/>
            <w:shd w:val="clear" w:color="auto" w:fill="auto"/>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r w:rsidRPr="001F4FF6">
              <w:rPr>
                <w:rFonts w:ascii="Lato" w:eastAsia="Times New Roman" w:hAnsi="Lato" w:cs="Calibri"/>
                <w:b/>
                <w:bCs/>
                <w:color w:val="595959" w:themeColor="text1" w:themeTint="A6"/>
                <w:sz w:val="20"/>
                <w:szCs w:val="20"/>
                <w:lang w:val="es-ES" w:eastAsia="es-MX"/>
              </w:rPr>
              <w:t>Adquisiciones y contrataciones</w:t>
            </w:r>
          </w:p>
        </w:tc>
        <w:tc>
          <w:tcPr>
            <w:tcW w:w="2240"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u w:val="single"/>
                <w:lang w:val="es-ES" w:eastAsia="es-MX"/>
              </w:rPr>
              <w:t>Previa</w:t>
            </w:r>
            <w:r w:rsidRPr="001F4FF6">
              <w:rPr>
                <w:rFonts w:ascii="Lato" w:eastAsia="Times New Roman" w:hAnsi="Lato" w:cs="Calibri"/>
                <w:color w:val="595959" w:themeColor="text1" w:themeTint="A6"/>
                <w:sz w:val="20"/>
                <w:szCs w:val="20"/>
                <w:lang w:val="es-ES" w:eastAsia="es-MX"/>
              </w:rPr>
              <w:t xml:space="preserve"> (Completa, para cada uno de los pasos del proceso de contratación).</w:t>
            </w:r>
          </w:p>
        </w:tc>
        <w:tc>
          <w:tcPr>
            <w:tcW w:w="1240" w:type="dxa"/>
            <w:shd w:val="clear" w:color="auto" w:fill="auto"/>
            <w:noWrap/>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 200 mil</w:t>
            </w:r>
          </w:p>
        </w:tc>
        <w:tc>
          <w:tcPr>
            <w:tcW w:w="1660" w:type="dxa"/>
            <w:shd w:val="clear" w:color="auto" w:fill="auto"/>
            <w:noWrap/>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LPI</w:t>
            </w:r>
          </w:p>
        </w:tc>
        <w:tc>
          <w:tcPr>
            <w:tcW w:w="7372" w:type="dxa"/>
            <w:gridSpan w:val="2"/>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En caso de adquirir bienes y servicios ≥ €200 mil se prevé realizar la licitación pública internacional de acuerdo a las directrices de KfW.</w:t>
            </w:r>
          </w:p>
        </w:tc>
      </w:tr>
      <w:tr w:rsidR="00C90843" w:rsidRPr="001F4FF6" w:rsidTr="00B211B4">
        <w:trPr>
          <w:trHeight w:val="564"/>
          <w:jc w:val="center"/>
        </w:trPr>
        <w:tc>
          <w:tcPr>
            <w:tcW w:w="1380" w:type="dxa"/>
            <w:vMerge/>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p>
        </w:tc>
        <w:tc>
          <w:tcPr>
            <w:tcW w:w="2240" w:type="dxa"/>
            <w:vMerge w:val="restart"/>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u w:val="single"/>
                <w:lang w:val="es-ES" w:eastAsia="es-MX"/>
              </w:rPr>
              <w:t>Simplificada</w:t>
            </w:r>
            <w:r w:rsidRPr="001F4FF6">
              <w:rPr>
                <w:rFonts w:ascii="Lato" w:eastAsia="Times New Roman" w:hAnsi="Lato" w:cs="Calibri"/>
                <w:color w:val="595959" w:themeColor="text1" w:themeTint="A6"/>
                <w:sz w:val="20"/>
                <w:szCs w:val="20"/>
                <w:lang w:val="es-ES" w:eastAsia="es-MX"/>
              </w:rPr>
              <w:t xml:space="preserve"> (Verificación antes de </w:t>
            </w:r>
            <w:r w:rsidRPr="001F4FF6">
              <w:rPr>
                <w:rFonts w:ascii="Lato" w:eastAsia="Times New Roman" w:hAnsi="Lato" w:cs="Calibri"/>
                <w:color w:val="595959" w:themeColor="text1" w:themeTint="A6"/>
                <w:sz w:val="20"/>
                <w:szCs w:val="20"/>
                <w:lang w:val="es-ES" w:eastAsia="es-MX"/>
              </w:rPr>
              <w:lastRenderedPageBreak/>
              <w:t>empezar el proceso a todos los documentos y No Objeción al Borrador del Contrato).</w:t>
            </w:r>
          </w:p>
        </w:tc>
        <w:tc>
          <w:tcPr>
            <w:tcW w:w="1240" w:type="dxa"/>
            <w:vMerge w:val="restart"/>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lastRenderedPageBreak/>
              <w:t>≥ 100 mil y &lt;200 mil</w:t>
            </w:r>
          </w:p>
        </w:tc>
        <w:tc>
          <w:tcPr>
            <w:tcW w:w="1660" w:type="dxa"/>
            <w:vMerge w:val="restart"/>
            <w:shd w:val="clear" w:color="auto" w:fill="auto"/>
            <w:noWrap/>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LPN</w:t>
            </w:r>
          </w:p>
        </w:tc>
        <w:tc>
          <w:tcPr>
            <w:tcW w:w="3828" w:type="dxa"/>
            <w:shd w:val="clear" w:color="auto" w:fill="D0CECE" w:themeFill="background2" w:themeFillShade="E6"/>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r w:rsidRPr="001F4FF6">
              <w:rPr>
                <w:rFonts w:ascii="Lato" w:eastAsia="Times New Roman" w:hAnsi="Lato" w:cs="Calibri"/>
                <w:b/>
                <w:bCs/>
                <w:color w:val="595959" w:themeColor="text1" w:themeTint="A6"/>
                <w:sz w:val="20"/>
                <w:szCs w:val="20"/>
                <w:lang w:val="es-ES" w:eastAsia="es-MX"/>
              </w:rPr>
              <w:t xml:space="preserve">Consultoría, Bienes y Servicios de No Consultoría </w:t>
            </w:r>
          </w:p>
        </w:tc>
        <w:tc>
          <w:tcPr>
            <w:tcW w:w="3544" w:type="dxa"/>
            <w:shd w:val="clear" w:color="auto" w:fill="D0CECE" w:themeFill="background2" w:themeFillShade="E6"/>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r w:rsidRPr="001F4FF6">
              <w:rPr>
                <w:rFonts w:ascii="Lato" w:eastAsia="Times New Roman" w:hAnsi="Lato" w:cs="Calibri"/>
                <w:b/>
                <w:bCs/>
                <w:color w:val="595959" w:themeColor="text1" w:themeTint="A6"/>
                <w:sz w:val="20"/>
                <w:szCs w:val="20"/>
                <w:lang w:val="es-ES" w:eastAsia="es-MX"/>
              </w:rPr>
              <w:t>Consultoría</w:t>
            </w:r>
          </w:p>
        </w:tc>
      </w:tr>
      <w:tr w:rsidR="00C90843" w:rsidRPr="001F4FF6" w:rsidTr="00B211B4">
        <w:trPr>
          <w:trHeight w:val="2484"/>
          <w:jc w:val="center"/>
        </w:trPr>
        <w:tc>
          <w:tcPr>
            <w:tcW w:w="1380" w:type="dxa"/>
            <w:vMerge/>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p>
        </w:tc>
        <w:tc>
          <w:tcPr>
            <w:tcW w:w="2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66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3828" w:type="dxa"/>
            <w:shd w:val="clear" w:color="auto" w:fill="FFFFFF" w:themeFill="background1"/>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1. Invitación a Presentar Propuestas/Ofertas:</w:t>
            </w:r>
            <w:r w:rsidRPr="001F4FF6">
              <w:rPr>
                <w:rFonts w:ascii="Lato" w:eastAsia="Times New Roman" w:hAnsi="Lato" w:cs="Calibri"/>
                <w:color w:val="595959" w:themeColor="text1" w:themeTint="A6"/>
                <w:sz w:val="20"/>
                <w:szCs w:val="20"/>
                <w:lang w:val="es-ES" w:eastAsia="es-MX"/>
              </w:rPr>
              <w:br/>
              <w:t>Información general de quien emite la licitación.</w:t>
            </w:r>
            <w:r w:rsidRPr="001F4FF6">
              <w:rPr>
                <w:rFonts w:ascii="Lato" w:eastAsia="Times New Roman" w:hAnsi="Lato" w:cs="Calibri"/>
                <w:color w:val="595959" w:themeColor="text1" w:themeTint="A6"/>
                <w:sz w:val="20"/>
                <w:szCs w:val="20"/>
                <w:lang w:val="es-ES" w:eastAsia="es-MX"/>
              </w:rPr>
              <w:br/>
              <w:t>Descripción de todo el proceso, condiciones, formato y lista de documentos a presentar, plazos y criterios y método de evaluación.</w:t>
            </w:r>
            <w:r w:rsidRPr="001F4FF6">
              <w:rPr>
                <w:rFonts w:ascii="Lato" w:eastAsia="Times New Roman" w:hAnsi="Lato" w:cs="Calibri"/>
                <w:color w:val="595959" w:themeColor="text1" w:themeTint="A6"/>
                <w:sz w:val="20"/>
                <w:szCs w:val="20"/>
                <w:lang w:val="es-ES" w:eastAsia="es-MX"/>
              </w:rPr>
              <w:br/>
              <w:t>Término de referencia detallados.</w:t>
            </w:r>
          </w:p>
        </w:tc>
        <w:tc>
          <w:tcPr>
            <w:tcW w:w="3544" w:type="dxa"/>
            <w:vMerge w:val="restart"/>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1. Términos de Referencia (TdR) detallados:</w:t>
            </w:r>
            <w:r w:rsidRPr="001F4FF6">
              <w:rPr>
                <w:rFonts w:ascii="Lato" w:eastAsia="Times New Roman" w:hAnsi="Lato" w:cs="Calibri"/>
                <w:color w:val="595959" w:themeColor="text1" w:themeTint="A6"/>
                <w:sz w:val="20"/>
                <w:szCs w:val="20"/>
                <w:lang w:val="es-ES" w:eastAsia="es-MX"/>
              </w:rPr>
              <w:br/>
              <w:t>Información general.</w:t>
            </w:r>
            <w:r w:rsidRPr="001F4FF6">
              <w:rPr>
                <w:rFonts w:ascii="Lato" w:eastAsia="Times New Roman" w:hAnsi="Lato" w:cs="Calibri"/>
                <w:color w:val="595959" w:themeColor="text1" w:themeTint="A6"/>
                <w:sz w:val="20"/>
                <w:szCs w:val="20"/>
                <w:lang w:val="es-ES" w:eastAsia="es-MX"/>
              </w:rPr>
              <w:br/>
              <w:t>Descripción de todo el proceso de la propuesta.</w:t>
            </w:r>
            <w:r w:rsidRPr="001F4FF6">
              <w:rPr>
                <w:rFonts w:ascii="Lato" w:eastAsia="Times New Roman" w:hAnsi="Lato" w:cs="Calibri"/>
                <w:color w:val="595959" w:themeColor="text1" w:themeTint="A6"/>
                <w:sz w:val="20"/>
                <w:szCs w:val="20"/>
                <w:lang w:val="es-ES" w:eastAsia="es-MX"/>
              </w:rPr>
              <w:br/>
              <w:t>Criterios de elegibilidad.</w:t>
            </w:r>
            <w:r w:rsidRPr="001F4FF6">
              <w:rPr>
                <w:rFonts w:ascii="Lato" w:eastAsia="Times New Roman" w:hAnsi="Lato" w:cs="Calibri"/>
                <w:color w:val="595959" w:themeColor="text1" w:themeTint="A6"/>
                <w:sz w:val="20"/>
                <w:szCs w:val="20"/>
                <w:lang w:val="es-ES" w:eastAsia="es-MX"/>
              </w:rPr>
              <w:br/>
              <w:t>Requisitos para la preparación de la propuesta.</w:t>
            </w:r>
            <w:r w:rsidRPr="001F4FF6">
              <w:rPr>
                <w:rFonts w:ascii="Lato" w:eastAsia="Times New Roman" w:hAnsi="Lato" w:cs="Calibri"/>
                <w:color w:val="595959" w:themeColor="text1" w:themeTint="A6"/>
                <w:sz w:val="20"/>
                <w:szCs w:val="20"/>
                <w:lang w:val="es-ES" w:eastAsia="es-MX"/>
              </w:rPr>
              <w:br/>
              <w:t>Método de evaluación.</w:t>
            </w:r>
            <w:r w:rsidRPr="001F4FF6">
              <w:rPr>
                <w:rFonts w:ascii="Lato" w:eastAsia="Times New Roman" w:hAnsi="Lato" w:cs="Calibri"/>
                <w:color w:val="595959" w:themeColor="text1" w:themeTint="A6"/>
                <w:sz w:val="20"/>
                <w:szCs w:val="20"/>
                <w:lang w:val="es-ES" w:eastAsia="es-MX"/>
              </w:rPr>
              <w:br/>
              <w:t xml:space="preserve">Especificaciones técnicas.                                                                           </w:t>
            </w:r>
          </w:p>
        </w:tc>
      </w:tr>
      <w:tr w:rsidR="00C90843" w:rsidRPr="001F4FF6" w:rsidTr="00B211B4">
        <w:trPr>
          <w:trHeight w:val="552"/>
          <w:jc w:val="center"/>
        </w:trPr>
        <w:tc>
          <w:tcPr>
            <w:tcW w:w="1380" w:type="dxa"/>
            <w:vMerge/>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p>
        </w:tc>
        <w:tc>
          <w:tcPr>
            <w:tcW w:w="2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66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3828"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 xml:space="preserve">2. Descripción de todo el proceso de Oferta/Propuesta. </w:t>
            </w:r>
          </w:p>
        </w:tc>
        <w:tc>
          <w:tcPr>
            <w:tcW w:w="3544"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r>
      <w:tr w:rsidR="00C90843" w:rsidRPr="001F4FF6" w:rsidTr="00B211B4">
        <w:trPr>
          <w:trHeight w:val="552"/>
          <w:jc w:val="center"/>
        </w:trPr>
        <w:tc>
          <w:tcPr>
            <w:tcW w:w="1380" w:type="dxa"/>
            <w:vMerge/>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p>
        </w:tc>
        <w:tc>
          <w:tcPr>
            <w:tcW w:w="2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66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3828"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 xml:space="preserve">3. Criterios de elegibilidad, método de evaluación. </w:t>
            </w:r>
          </w:p>
        </w:tc>
        <w:tc>
          <w:tcPr>
            <w:tcW w:w="3544"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r>
      <w:tr w:rsidR="00C90843" w:rsidRPr="001F4FF6" w:rsidTr="00B211B4">
        <w:trPr>
          <w:trHeight w:val="552"/>
          <w:jc w:val="center"/>
        </w:trPr>
        <w:tc>
          <w:tcPr>
            <w:tcW w:w="1380" w:type="dxa"/>
            <w:vMerge/>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p>
        </w:tc>
        <w:tc>
          <w:tcPr>
            <w:tcW w:w="2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66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3828"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 xml:space="preserve">4. Términos de Referencia detallados/especificaciones técnicas. </w:t>
            </w:r>
          </w:p>
        </w:tc>
        <w:tc>
          <w:tcPr>
            <w:tcW w:w="3544"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r>
      <w:tr w:rsidR="00C90843" w:rsidRPr="001F4FF6" w:rsidTr="00B211B4">
        <w:trPr>
          <w:trHeight w:val="828"/>
          <w:jc w:val="center"/>
        </w:trPr>
        <w:tc>
          <w:tcPr>
            <w:tcW w:w="1380" w:type="dxa"/>
            <w:vMerge/>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p>
        </w:tc>
        <w:tc>
          <w:tcPr>
            <w:tcW w:w="2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66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3828"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6. Formularios o requisitos para la preparación de la Oferta/Propuesta técnica y financiera.</w:t>
            </w:r>
          </w:p>
        </w:tc>
        <w:tc>
          <w:tcPr>
            <w:tcW w:w="3544"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r>
      <w:tr w:rsidR="00C90843" w:rsidRPr="001F4FF6" w:rsidTr="00B211B4">
        <w:trPr>
          <w:trHeight w:val="828"/>
          <w:jc w:val="center"/>
        </w:trPr>
        <w:tc>
          <w:tcPr>
            <w:tcW w:w="1380" w:type="dxa"/>
            <w:vMerge/>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p>
        </w:tc>
        <w:tc>
          <w:tcPr>
            <w:tcW w:w="2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66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3828" w:type="dxa"/>
            <w:shd w:val="clear" w:color="auto" w:fill="FFFFFF" w:themeFill="background1"/>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7. Borrador de Contrato.</w:t>
            </w:r>
          </w:p>
        </w:tc>
        <w:tc>
          <w:tcPr>
            <w:tcW w:w="3544"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 xml:space="preserve">2. Publicación de TdR en medios electrónicos por al menos tres semanas.                                     </w:t>
            </w:r>
          </w:p>
        </w:tc>
      </w:tr>
      <w:tr w:rsidR="00C90843" w:rsidRPr="001F4FF6" w:rsidTr="00B211B4">
        <w:trPr>
          <w:trHeight w:val="1176"/>
          <w:jc w:val="center"/>
        </w:trPr>
        <w:tc>
          <w:tcPr>
            <w:tcW w:w="1380" w:type="dxa"/>
            <w:vMerge/>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p>
        </w:tc>
        <w:tc>
          <w:tcPr>
            <w:tcW w:w="2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66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3828"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8. Declaración de Compromiso.</w:t>
            </w:r>
          </w:p>
        </w:tc>
        <w:tc>
          <w:tcPr>
            <w:tcW w:w="3544"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3. Recepción y registro electrónico de propuestas técnicas y financieras, éstas últimas se abrirán después de la evaluación técnica.</w:t>
            </w:r>
          </w:p>
        </w:tc>
      </w:tr>
      <w:tr w:rsidR="00C90843" w:rsidRPr="001F4FF6" w:rsidTr="00B211B4">
        <w:trPr>
          <w:trHeight w:val="552"/>
          <w:jc w:val="center"/>
        </w:trPr>
        <w:tc>
          <w:tcPr>
            <w:tcW w:w="1380" w:type="dxa"/>
            <w:vMerge/>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p>
        </w:tc>
        <w:tc>
          <w:tcPr>
            <w:tcW w:w="2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66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3828" w:type="dxa"/>
            <w:shd w:val="clear" w:color="auto" w:fill="FFFFFF" w:themeFill="background1"/>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 </w:t>
            </w:r>
          </w:p>
        </w:tc>
        <w:tc>
          <w:tcPr>
            <w:tcW w:w="3544"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4. Tabla de evaluación de propuestas.</w:t>
            </w:r>
          </w:p>
        </w:tc>
      </w:tr>
      <w:tr w:rsidR="00C90843" w:rsidRPr="001F4FF6" w:rsidTr="00B211B4">
        <w:trPr>
          <w:trHeight w:val="570"/>
          <w:jc w:val="center"/>
        </w:trPr>
        <w:tc>
          <w:tcPr>
            <w:tcW w:w="1380" w:type="dxa"/>
            <w:vMerge/>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p>
        </w:tc>
        <w:tc>
          <w:tcPr>
            <w:tcW w:w="2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66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3828" w:type="dxa"/>
            <w:shd w:val="clear" w:color="auto" w:fill="FFFFFF" w:themeFill="background1"/>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 </w:t>
            </w:r>
          </w:p>
        </w:tc>
        <w:tc>
          <w:tcPr>
            <w:tcW w:w="3544"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 xml:space="preserve">5. Apertura de propuesta financiera y evaluación final de calidad y costo. </w:t>
            </w:r>
          </w:p>
        </w:tc>
      </w:tr>
      <w:tr w:rsidR="00C90843" w:rsidRPr="001F4FF6" w:rsidTr="00B211B4">
        <w:trPr>
          <w:trHeight w:val="312"/>
          <w:jc w:val="center"/>
        </w:trPr>
        <w:tc>
          <w:tcPr>
            <w:tcW w:w="1380" w:type="dxa"/>
            <w:vMerge/>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p>
        </w:tc>
        <w:tc>
          <w:tcPr>
            <w:tcW w:w="2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66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3828" w:type="dxa"/>
            <w:shd w:val="clear" w:color="auto" w:fill="auto"/>
            <w:noWrap/>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 </w:t>
            </w:r>
          </w:p>
        </w:tc>
        <w:tc>
          <w:tcPr>
            <w:tcW w:w="3544"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6. Formalización del contrato.</w:t>
            </w:r>
          </w:p>
        </w:tc>
      </w:tr>
      <w:tr w:rsidR="00C90843" w:rsidRPr="001F4FF6" w:rsidTr="00B211B4">
        <w:trPr>
          <w:trHeight w:val="540"/>
          <w:jc w:val="center"/>
        </w:trPr>
        <w:tc>
          <w:tcPr>
            <w:tcW w:w="1380" w:type="dxa"/>
            <w:vMerge/>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p>
        </w:tc>
        <w:tc>
          <w:tcPr>
            <w:tcW w:w="2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66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3828" w:type="dxa"/>
            <w:shd w:val="clear" w:color="auto" w:fill="FFFFFF" w:themeFill="background1"/>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 </w:t>
            </w:r>
          </w:p>
        </w:tc>
        <w:tc>
          <w:tcPr>
            <w:tcW w:w="3544"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7. Notificación del resultado de selección al Comité Técnico respectivo.</w:t>
            </w:r>
          </w:p>
        </w:tc>
      </w:tr>
      <w:tr w:rsidR="00C90843" w:rsidRPr="001F4FF6" w:rsidTr="00B211B4">
        <w:trPr>
          <w:trHeight w:val="312"/>
          <w:jc w:val="center"/>
        </w:trPr>
        <w:tc>
          <w:tcPr>
            <w:tcW w:w="1380" w:type="dxa"/>
            <w:vMerge/>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p>
        </w:tc>
        <w:tc>
          <w:tcPr>
            <w:tcW w:w="2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66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3828" w:type="dxa"/>
            <w:shd w:val="clear" w:color="auto" w:fill="auto"/>
            <w:noWrap/>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 </w:t>
            </w:r>
          </w:p>
        </w:tc>
        <w:tc>
          <w:tcPr>
            <w:tcW w:w="3544"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8. Declaración de Compromiso.</w:t>
            </w:r>
          </w:p>
        </w:tc>
      </w:tr>
      <w:tr w:rsidR="00C90843" w:rsidRPr="001F4FF6" w:rsidTr="00B211B4">
        <w:trPr>
          <w:trHeight w:val="360"/>
          <w:jc w:val="center"/>
        </w:trPr>
        <w:tc>
          <w:tcPr>
            <w:tcW w:w="1380" w:type="dxa"/>
            <w:vMerge/>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p>
        </w:tc>
        <w:tc>
          <w:tcPr>
            <w:tcW w:w="2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66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3828" w:type="dxa"/>
            <w:shd w:val="clear" w:color="auto" w:fill="FFFFFF" w:themeFill="background1"/>
            <w:vAlign w:val="center"/>
            <w:hideMark/>
          </w:tcPr>
          <w:p w:rsidR="00C90843" w:rsidRPr="001F4FF6" w:rsidRDefault="00C90843" w:rsidP="00B211B4">
            <w:pPr>
              <w:rPr>
                <w:rFonts w:ascii="Lato" w:eastAsia="Times New Roman" w:hAnsi="Lato" w:cs="Calibri"/>
                <w:b/>
                <w:bCs/>
                <w:i/>
                <w:iCs/>
                <w:color w:val="595959" w:themeColor="text1" w:themeTint="A6"/>
                <w:sz w:val="20"/>
                <w:szCs w:val="20"/>
                <w:lang w:val="es-ES" w:eastAsia="es-MX"/>
              </w:rPr>
            </w:pPr>
            <w:r w:rsidRPr="001F4FF6">
              <w:rPr>
                <w:rFonts w:ascii="Lato" w:eastAsia="Times New Roman" w:hAnsi="Lato" w:cs="Calibri"/>
                <w:b/>
                <w:bCs/>
                <w:i/>
                <w:iCs/>
                <w:color w:val="595959" w:themeColor="text1" w:themeTint="A6"/>
                <w:sz w:val="20"/>
                <w:szCs w:val="20"/>
                <w:lang w:val="es-ES" w:eastAsia="es-MX"/>
              </w:rPr>
              <w:t> </w:t>
            </w:r>
          </w:p>
        </w:tc>
        <w:tc>
          <w:tcPr>
            <w:tcW w:w="3544" w:type="dxa"/>
            <w:shd w:val="clear" w:color="auto" w:fill="D0CECE" w:themeFill="background2" w:themeFillShade="E6"/>
            <w:vAlign w:val="center"/>
            <w:hideMark/>
          </w:tcPr>
          <w:p w:rsidR="00C90843" w:rsidRPr="001F4FF6" w:rsidRDefault="00C90843" w:rsidP="00B211B4">
            <w:pPr>
              <w:rPr>
                <w:rFonts w:ascii="Lato" w:eastAsia="Times New Roman" w:hAnsi="Lato" w:cs="Calibri"/>
                <w:b/>
                <w:bCs/>
                <w:i/>
                <w:iCs/>
                <w:color w:val="595959" w:themeColor="text1" w:themeTint="A6"/>
                <w:sz w:val="20"/>
                <w:szCs w:val="20"/>
                <w:lang w:val="es-ES" w:eastAsia="es-MX"/>
              </w:rPr>
            </w:pPr>
            <w:r w:rsidRPr="001F4FF6">
              <w:rPr>
                <w:rFonts w:ascii="Lato" w:eastAsia="Times New Roman" w:hAnsi="Lato" w:cs="Calibri"/>
                <w:b/>
                <w:bCs/>
                <w:i/>
                <w:iCs/>
                <w:color w:val="595959" w:themeColor="text1" w:themeTint="A6"/>
                <w:sz w:val="20"/>
                <w:szCs w:val="20"/>
                <w:lang w:val="es-ES" w:eastAsia="es-MX"/>
              </w:rPr>
              <w:t>Bienes y Servicios de No Consultoría</w:t>
            </w:r>
          </w:p>
        </w:tc>
      </w:tr>
      <w:tr w:rsidR="00C90843" w:rsidRPr="001F4FF6" w:rsidTr="00B211B4">
        <w:trPr>
          <w:trHeight w:val="510"/>
          <w:jc w:val="center"/>
        </w:trPr>
        <w:tc>
          <w:tcPr>
            <w:tcW w:w="1380" w:type="dxa"/>
            <w:vMerge/>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p>
        </w:tc>
        <w:tc>
          <w:tcPr>
            <w:tcW w:w="2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66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3828" w:type="dxa"/>
            <w:vMerge w:val="restart"/>
            <w:shd w:val="clear" w:color="auto" w:fill="FFFFFF" w:themeFill="background1"/>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 </w:t>
            </w:r>
          </w:p>
        </w:tc>
        <w:tc>
          <w:tcPr>
            <w:tcW w:w="3544"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 xml:space="preserve">1. Publicación / envío de la Invitación a cotizar a tres proveedores, al menos. </w:t>
            </w:r>
          </w:p>
        </w:tc>
      </w:tr>
      <w:tr w:rsidR="00C90843" w:rsidRPr="001F4FF6" w:rsidTr="00B211B4">
        <w:trPr>
          <w:trHeight w:val="1380"/>
          <w:jc w:val="center"/>
        </w:trPr>
        <w:tc>
          <w:tcPr>
            <w:tcW w:w="1380" w:type="dxa"/>
            <w:vMerge/>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p>
        </w:tc>
        <w:tc>
          <w:tcPr>
            <w:tcW w:w="2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66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3828"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3544"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2. Las invitaciones incluyen:</w:t>
            </w:r>
            <w:r w:rsidRPr="001F4FF6">
              <w:rPr>
                <w:rFonts w:ascii="Lato" w:eastAsia="Times New Roman" w:hAnsi="Lato" w:cs="Calibri"/>
                <w:color w:val="595959" w:themeColor="text1" w:themeTint="A6"/>
                <w:sz w:val="20"/>
                <w:szCs w:val="20"/>
                <w:lang w:val="es-ES" w:eastAsia="es-MX"/>
              </w:rPr>
              <w:br/>
              <w:t>Información general de quien emite la invitación</w:t>
            </w:r>
            <w:r w:rsidRPr="001F4FF6">
              <w:rPr>
                <w:rFonts w:ascii="Lato" w:eastAsia="Times New Roman" w:hAnsi="Lato" w:cs="Calibri"/>
                <w:color w:val="595959" w:themeColor="text1" w:themeTint="A6"/>
                <w:sz w:val="20"/>
                <w:szCs w:val="20"/>
                <w:lang w:val="es-ES" w:eastAsia="es-MX"/>
              </w:rPr>
              <w:br/>
              <w:t>Las especificaciones de los bienes o servicios que se desea adquirir.</w:t>
            </w:r>
          </w:p>
        </w:tc>
      </w:tr>
      <w:tr w:rsidR="00C90843" w:rsidRPr="001F4FF6" w:rsidTr="00B211B4">
        <w:trPr>
          <w:trHeight w:val="480"/>
          <w:jc w:val="center"/>
        </w:trPr>
        <w:tc>
          <w:tcPr>
            <w:tcW w:w="1380" w:type="dxa"/>
            <w:vMerge/>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p>
        </w:tc>
        <w:tc>
          <w:tcPr>
            <w:tcW w:w="2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66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3828" w:type="dxa"/>
            <w:shd w:val="clear" w:color="auto" w:fill="FFFFFF" w:themeFill="background1"/>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 </w:t>
            </w:r>
          </w:p>
        </w:tc>
        <w:tc>
          <w:tcPr>
            <w:tcW w:w="3544"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3. Tabla comparativa de proveedores, incluye cumplimiento con las especificaciones y el monto.</w:t>
            </w:r>
          </w:p>
        </w:tc>
      </w:tr>
      <w:tr w:rsidR="00C90843" w:rsidRPr="001F4FF6" w:rsidTr="00B211B4">
        <w:trPr>
          <w:trHeight w:val="312"/>
          <w:jc w:val="center"/>
        </w:trPr>
        <w:tc>
          <w:tcPr>
            <w:tcW w:w="1380" w:type="dxa"/>
            <w:vMerge/>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p>
        </w:tc>
        <w:tc>
          <w:tcPr>
            <w:tcW w:w="2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66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3828" w:type="dxa"/>
            <w:shd w:val="clear" w:color="auto" w:fill="FFFFFF" w:themeFill="background1"/>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 </w:t>
            </w:r>
          </w:p>
        </w:tc>
        <w:tc>
          <w:tcPr>
            <w:tcW w:w="3544"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4. Notificación al Comité Técnico</w:t>
            </w:r>
          </w:p>
        </w:tc>
      </w:tr>
      <w:tr w:rsidR="00C90843" w:rsidRPr="001F4FF6" w:rsidTr="00B211B4">
        <w:trPr>
          <w:trHeight w:val="312"/>
          <w:jc w:val="center"/>
        </w:trPr>
        <w:tc>
          <w:tcPr>
            <w:tcW w:w="1380" w:type="dxa"/>
            <w:vMerge/>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p>
        </w:tc>
        <w:tc>
          <w:tcPr>
            <w:tcW w:w="2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66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3828" w:type="dxa"/>
            <w:shd w:val="clear" w:color="auto" w:fill="FFFFFF" w:themeFill="background1"/>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 </w:t>
            </w:r>
          </w:p>
        </w:tc>
        <w:tc>
          <w:tcPr>
            <w:tcW w:w="3544"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5. Declaración de Compromiso.</w:t>
            </w:r>
          </w:p>
        </w:tc>
      </w:tr>
      <w:tr w:rsidR="00C90843" w:rsidRPr="001F4FF6" w:rsidTr="00B211B4">
        <w:trPr>
          <w:trHeight w:val="768"/>
          <w:jc w:val="center"/>
        </w:trPr>
        <w:tc>
          <w:tcPr>
            <w:tcW w:w="1380" w:type="dxa"/>
            <w:vMerge w:val="restart"/>
            <w:shd w:val="clear" w:color="auto" w:fill="auto"/>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r w:rsidRPr="001F4FF6">
              <w:rPr>
                <w:rFonts w:ascii="Lato" w:eastAsia="Times New Roman" w:hAnsi="Lato" w:cs="Calibri"/>
                <w:b/>
                <w:bCs/>
                <w:color w:val="595959" w:themeColor="text1" w:themeTint="A6"/>
                <w:sz w:val="20"/>
                <w:szCs w:val="20"/>
                <w:lang w:val="es-ES" w:eastAsia="es-MX"/>
              </w:rPr>
              <w:t>Adquisiciones y contrataciones</w:t>
            </w:r>
          </w:p>
        </w:tc>
        <w:tc>
          <w:tcPr>
            <w:tcW w:w="2240" w:type="dxa"/>
            <w:vMerge w:val="restart"/>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u w:val="single"/>
                <w:lang w:val="es-ES" w:eastAsia="es-MX"/>
              </w:rPr>
              <w:t>Simplificada</w:t>
            </w:r>
            <w:r w:rsidRPr="001F4FF6">
              <w:rPr>
                <w:rFonts w:ascii="Lato" w:eastAsia="Times New Roman" w:hAnsi="Lato" w:cs="Calibri"/>
                <w:color w:val="595959" w:themeColor="text1" w:themeTint="A6"/>
                <w:sz w:val="20"/>
                <w:szCs w:val="20"/>
                <w:lang w:val="es-ES" w:eastAsia="es-MX"/>
              </w:rPr>
              <w:t xml:space="preserve"> (Verificación antes de empezar el proceso a todos los documentos y No Objeción al Borrador del Contrato).</w:t>
            </w:r>
          </w:p>
        </w:tc>
        <w:tc>
          <w:tcPr>
            <w:tcW w:w="1240" w:type="dxa"/>
            <w:vMerge w:val="restart"/>
            <w:shd w:val="clear" w:color="auto" w:fill="auto"/>
            <w:noWrap/>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 20 mil y &lt; 100 mil</w:t>
            </w:r>
          </w:p>
        </w:tc>
        <w:tc>
          <w:tcPr>
            <w:tcW w:w="1660" w:type="dxa"/>
            <w:vMerge w:val="restart"/>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Solicitud de ofertas (mínimo tres) o cotización de precios (mínimo tres)</w:t>
            </w:r>
          </w:p>
        </w:tc>
        <w:tc>
          <w:tcPr>
            <w:tcW w:w="3828" w:type="dxa"/>
            <w:shd w:val="clear" w:color="auto" w:fill="D0CECE" w:themeFill="background2" w:themeFillShade="E6"/>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r w:rsidRPr="001F4FF6">
              <w:rPr>
                <w:rFonts w:ascii="Lato" w:eastAsia="Times New Roman" w:hAnsi="Lato" w:cs="Calibri"/>
                <w:b/>
                <w:bCs/>
                <w:color w:val="595959" w:themeColor="text1" w:themeTint="A6"/>
                <w:sz w:val="20"/>
                <w:szCs w:val="20"/>
                <w:lang w:val="es-ES" w:eastAsia="es-MX"/>
              </w:rPr>
              <w:t xml:space="preserve">Consultoría, Bienes y Servicios de No Consultoría </w:t>
            </w:r>
          </w:p>
        </w:tc>
        <w:tc>
          <w:tcPr>
            <w:tcW w:w="3544" w:type="dxa"/>
            <w:shd w:val="clear" w:color="auto" w:fill="D0CECE" w:themeFill="background2" w:themeFillShade="E6"/>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r w:rsidRPr="001F4FF6">
              <w:rPr>
                <w:rFonts w:ascii="Lato" w:eastAsia="Times New Roman" w:hAnsi="Lato" w:cs="Calibri"/>
                <w:b/>
                <w:bCs/>
                <w:color w:val="595959" w:themeColor="text1" w:themeTint="A6"/>
                <w:sz w:val="20"/>
                <w:szCs w:val="20"/>
                <w:lang w:val="es-ES" w:eastAsia="es-MX"/>
              </w:rPr>
              <w:t>Consultoría</w:t>
            </w:r>
          </w:p>
        </w:tc>
      </w:tr>
      <w:tr w:rsidR="00C90843" w:rsidRPr="001F4FF6" w:rsidTr="00B211B4">
        <w:trPr>
          <w:trHeight w:val="516"/>
          <w:jc w:val="center"/>
        </w:trPr>
        <w:tc>
          <w:tcPr>
            <w:tcW w:w="1380" w:type="dxa"/>
            <w:vMerge/>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p>
        </w:tc>
        <w:tc>
          <w:tcPr>
            <w:tcW w:w="2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66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3828"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1. Información general sobre la organización que emite la licitación, fuente de los recursos financieros y entidad que realiza el Proceso de Adquisición, incluidos datos de contacto.</w:t>
            </w:r>
          </w:p>
        </w:tc>
        <w:tc>
          <w:tcPr>
            <w:tcW w:w="3544" w:type="dxa"/>
            <w:vMerge w:val="restart"/>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1. Términos de Referencia (TdR) detallados:</w:t>
            </w:r>
            <w:r w:rsidRPr="001F4FF6">
              <w:rPr>
                <w:rFonts w:ascii="Lato" w:eastAsia="Times New Roman" w:hAnsi="Lato" w:cs="Calibri"/>
                <w:color w:val="595959" w:themeColor="text1" w:themeTint="A6"/>
                <w:sz w:val="20"/>
                <w:szCs w:val="20"/>
                <w:lang w:val="es-ES" w:eastAsia="es-MX"/>
              </w:rPr>
              <w:br/>
              <w:t>Información general.</w:t>
            </w:r>
            <w:r w:rsidRPr="001F4FF6">
              <w:rPr>
                <w:rFonts w:ascii="Lato" w:eastAsia="Times New Roman" w:hAnsi="Lato" w:cs="Calibri"/>
                <w:color w:val="595959" w:themeColor="text1" w:themeTint="A6"/>
                <w:sz w:val="20"/>
                <w:szCs w:val="20"/>
                <w:lang w:val="es-ES" w:eastAsia="es-MX"/>
              </w:rPr>
              <w:br/>
              <w:t>Descripción de todo el proceso de la propuesta.</w:t>
            </w:r>
            <w:r w:rsidRPr="001F4FF6">
              <w:rPr>
                <w:rFonts w:ascii="Lato" w:eastAsia="Times New Roman" w:hAnsi="Lato" w:cs="Calibri"/>
                <w:color w:val="595959" w:themeColor="text1" w:themeTint="A6"/>
                <w:sz w:val="20"/>
                <w:szCs w:val="20"/>
                <w:lang w:val="es-ES" w:eastAsia="es-MX"/>
              </w:rPr>
              <w:br/>
              <w:t>Criterios de elegibilidad.</w:t>
            </w:r>
            <w:r w:rsidRPr="001F4FF6">
              <w:rPr>
                <w:rFonts w:ascii="Lato" w:eastAsia="Times New Roman" w:hAnsi="Lato" w:cs="Calibri"/>
                <w:color w:val="595959" w:themeColor="text1" w:themeTint="A6"/>
                <w:sz w:val="20"/>
                <w:szCs w:val="20"/>
                <w:lang w:val="es-ES" w:eastAsia="es-MX"/>
              </w:rPr>
              <w:br/>
              <w:t>Requisitos para la preparación de la propuesta.</w:t>
            </w:r>
            <w:r w:rsidRPr="001F4FF6">
              <w:rPr>
                <w:rFonts w:ascii="Lato" w:eastAsia="Times New Roman" w:hAnsi="Lato" w:cs="Calibri"/>
                <w:color w:val="595959" w:themeColor="text1" w:themeTint="A6"/>
                <w:sz w:val="20"/>
                <w:szCs w:val="20"/>
                <w:lang w:val="es-ES" w:eastAsia="es-MX"/>
              </w:rPr>
              <w:br/>
            </w:r>
            <w:r w:rsidRPr="001F4FF6">
              <w:rPr>
                <w:rFonts w:ascii="Lato" w:eastAsia="Times New Roman" w:hAnsi="Lato" w:cs="Calibri"/>
                <w:color w:val="595959" w:themeColor="text1" w:themeTint="A6"/>
                <w:sz w:val="20"/>
                <w:szCs w:val="20"/>
                <w:lang w:val="es-ES" w:eastAsia="es-MX"/>
              </w:rPr>
              <w:lastRenderedPageBreak/>
              <w:t>Método de evaluación.</w:t>
            </w:r>
            <w:r w:rsidRPr="001F4FF6">
              <w:rPr>
                <w:rFonts w:ascii="Lato" w:eastAsia="Times New Roman" w:hAnsi="Lato" w:cs="Calibri"/>
                <w:color w:val="595959" w:themeColor="text1" w:themeTint="A6"/>
                <w:sz w:val="20"/>
                <w:szCs w:val="20"/>
                <w:lang w:val="es-ES" w:eastAsia="es-MX"/>
              </w:rPr>
              <w:br/>
              <w:t xml:space="preserve">Especificaciones técnicas.                                                             </w:t>
            </w:r>
          </w:p>
        </w:tc>
      </w:tr>
      <w:tr w:rsidR="00C90843" w:rsidRPr="001F4FF6" w:rsidTr="00B211B4">
        <w:trPr>
          <w:trHeight w:val="552"/>
          <w:jc w:val="center"/>
        </w:trPr>
        <w:tc>
          <w:tcPr>
            <w:tcW w:w="1380" w:type="dxa"/>
            <w:vMerge/>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p>
        </w:tc>
        <w:tc>
          <w:tcPr>
            <w:tcW w:w="2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66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3828"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 xml:space="preserve">2. Descripción de todo el proceso de Oferta/Propuesta. </w:t>
            </w:r>
          </w:p>
        </w:tc>
        <w:tc>
          <w:tcPr>
            <w:tcW w:w="3544"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r>
      <w:tr w:rsidR="00C90843" w:rsidRPr="001F4FF6" w:rsidTr="00B211B4">
        <w:trPr>
          <w:trHeight w:val="552"/>
          <w:jc w:val="center"/>
        </w:trPr>
        <w:tc>
          <w:tcPr>
            <w:tcW w:w="1380" w:type="dxa"/>
            <w:vMerge/>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p>
        </w:tc>
        <w:tc>
          <w:tcPr>
            <w:tcW w:w="2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66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3828"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 xml:space="preserve">3. Criterios de elegibilidad, método de evaluación. </w:t>
            </w:r>
          </w:p>
        </w:tc>
        <w:tc>
          <w:tcPr>
            <w:tcW w:w="3544"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r>
      <w:tr w:rsidR="00C90843" w:rsidRPr="001F4FF6" w:rsidTr="00B211B4">
        <w:trPr>
          <w:trHeight w:val="552"/>
          <w:jc w:val="center"/>
        </w:trPr>
        <w:tc>
          <w:tcPr>
            <w:tcW w:w="1380" w:type="dxa"/>
            <w:vMerge/>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p>
        </w:tc>
        <w:tc>
          <w:tcPr>
            <w:tcW w:w="2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66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3828"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 xml:space="preserve">4. Términos de Referencia detallados/especificaciones técnicas. </w:t>
            </w:r>
          </w:p>
        </w:tc>
        <w:tc>
          <w:tcPr>
            <w:tcW w:w="3544"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r>
      <w:tr w:rsidR="00C90843" w:rsidRPr="001F4FF6" w:rsidTr="00B211B4">
        <w:trPr>
          <w:trHeight w:val="828"/>
          <w:jc w:val="center"/>
        </w:trPr>
        <w:tc>
          <w:tcPr>
            <w:tcW w:w="1380" w:type="dxa"/>
            <w:vMerge/>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p>
        </w:tc>
        <w:tc>
          <w:tcPr>
            <w:tcW w:w="2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66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3828"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5. Formularios o requisitos para la preparación de la Oferta/Propuesta técnica y financiera.</w:t>
            </w:r>
          </w:p>
        </w:tc>
        <w:tc>
          <w:tcPr>
            <w:tcW w:w="3544"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r>
      <w:tr w:rsidR="00C90843" w:rsidRPr="001F4FF6" w:rsidTr="00B211B4">
        <w:trPr>
          <w:trHeight w:val="1104"/>
          <w:jc w:val="center"/>
        </w:trPr>
        <w:tc>
          <w:tcPr>
            <w:tcW w:w="1380" w:type="dxa"/>
            <w:vMerge/>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p>
        </w:tc>
        <w:tc>
          <w:tcPr>
            <w:tcW w:w="2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66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3828"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6. Borrador del contrato.</w:t>
            </w:r>
          </w:p>
        </w:tc>
        <w:tc>
          <w:tcPr>
            <w:tcW w:w="3544"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 xml:space="preserve">2. Publicación o preparación de la lista corta, al menos tres posibles proveedores a las que FMCN enviará los TdR.                                </w:t>
            </w:r>
          </w:p>
        </w:tc>
      </w:tr>
      <w:tr w:rsidR="00C90843" w:rsidRPr="001F4FF6" w:rsidTr="00B211B4">
        <w:trPr>
          <w:trHeight w:val="1104"/>
          <w:jc w:val="center"/>
        </w:trPr>
        <w:tc>
          <w:tcPr>
            <w:tcW w:w="1380" w:type="dxa"/>
            <w:vMerge/>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p>
        </w:tc>
        <w:tc>
          <w:tcPr>
            <w:tcW w:w="2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66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3828"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7. Declaración de Compromiso.</w:t>
            </w:r>
          </w:p>
        </w:tc>
        <w:tc>
          <w:tcPr>
            <w:tcW w:w="3544"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3. Recepción y registro electrónico de propuestas técnicas y financieras, éstas últimas se abrirán después de la evaluación técnica.</w:t>
            </w:r>
          </w:p>
        </w:tc>
      </w:tr>
      <w:tr w:rsidR="00C90843" w:rsidRPr="001F4FF6" w:rsidTr="00B211B4">
        <w:trPr>
          <w:trHeight w:val="552"/>
          <w:jc w:val="center"/>
        </w:trPr>
        <w:tc>
          <w:tcPr>
            <w:tcW w:w="1380" w:type="dxa"/>
            <w:vMerge/>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p>
        </w:tc>
        <w:tc>
          <w:tcPr>
            <w:tcW w:w="2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66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3828" w:type="dxa"/>
            <w:vMerge w:val="restart"/>
            <w:shd w:val="clear" w:color="auto" w:fill="auto"/>
            <w:noWrap/>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 </w:t>
            </w:r>
          </w:p>
        </w:tc>
        <w:tc>
          <w:tcPr>
            <w:tcW w:w="3544"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4. Tabla de evaluación de propuestas.</w:t>
            </w:r>
          </w:p>
        </w:tc>
      </w:tr>
      <w:tr w:rsidR="00C90843" w:rsidRPr="001F4FF6" w:rsidTr="00B211B4">
        <w:trPr>
          <w:trHeight w:val="552"/>
          <w:jc w:val="center"/>
        </w:trPr>
        <w:tc>
          <w:tcPr>
            <w:tcW w:w="1380" w:type="dxa"/>
            <w:vMerge/>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p>
        </w:tc>
        <w:tc>
          <w:tcPr>
            <w:tcW w:w="2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66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3828"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3544"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 xml:space="preserve">5. Apertura de propuesta financiera y evaluación final de calidad-costo. </w:t>
            </w:r>
          </w:p>
        </w:tc>
      </w:tr>
      <w:tr w:rsidR="00C90843" w:rsidRPr="001F4FF6" w:rsidTr="00B211B4">
        <w:trPr>
          <w:trHeight w:val="312"/>
          <w:jc w:val="center"/>
        </w:trPr>
        <w:tc>
          <w:tcPr>
            <w:tcW w:w="1380" w:type="dxa"/>
            <w:vMerge/>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p>
        </w:tc>
        <w:tc>
          <w:tcPr>
            <w:tcW w:w="2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66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3828"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3544"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6. Formalización del contrato.</w:t>
            </w:r>
          </w:p>
        </w:tc>
      </w:tr>
      <w:tr w:rsidR="00C90843" w:rsidRPr="001F4FF6" w:rsidTr="00B211B4">
        <w:trPr>
          <w:trHeight w:val="312"/>
          <w:jc w:val="center"/>
        </w:trPr>
        <w:tc>
          <w:tcPr>
            <w:tcW w:w="1380" w:type="dxa"/>
            <w:vMerge/>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p>
        </w:tc>
        <w:tc>
          <w:tcPr>
            <w:tcW w:w="2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66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3828"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3544"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7. Declaración de Compromiso.</w:t>
            </w:r>
          </w:p>
        </w:tc>
      </w:tr>
      <w:tr w:rsidR="00C90843" w:rsidRPr="001F4FF6" w:rsidTr="00B211B4">
        <w:trPr>
          <w:trHeight w:val="312"/>
          <w:jc w:val="center"/>
        </w:trPr>
        <w:tc>
          <w:tcPr>
            <w:tcW w:w="1380" w:type="dxa"/>
            <w:vMerge/>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p>
        </w:tc>
        <w:tc>
          <w:tcPr>
            <w:tcW w:w="2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66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3828"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3544" w:type="dxa"/>
            <w:shd w:val="clear" w:color="auto" w:fill="D0CECE" w:themeFill="background2" w:themeFillShade="E6"/>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r w:rsidRPr="001F4FF6">
              <w:rPr>
                <w:rFonts w:ascii="Lato" w:eastAsia="Times New Roman" w:hAnsi="Lato" w:cs="Calibri"/>
                <w:b/>
                <w:bCs/>
                <w:color w:val="595959" w:themeColor="text1" w:themeTint="A6"/>
                <w:sz w:val="20"/>
                <w:szCs w:val="20"/>
                <w:lang w:val="es-ES" w:eastAsia="es-MX"/>
              </w:rPr>
              <w:t>Bienes y Servicios de no Consultoría</w:t>
            </w:r>
          </w:p>
        </w:tc>
      </w:tr>
      <w:tr w:rsidR="00C90843" w:rsidRPr="001F4FF6" w:rsidTr="00B211B4">
        <w:trPr>
          <w:trHeight w:val="1656"/>
          <w:jc w:val="center"/>
        </w:trPr>
        <w:tc>
          <w:tcPr>
            <w:tcW w:w="1380" w:type="dxa"/>
            <w:vMerge/>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p>
        </w:tc>
        <w:tc>
          <w:tcPr>
            <w:tcW w:w="2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66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3828"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3544" w:type="dxa"/>
            <w:shd w:val="clear" w:color="auto" w:fill="FFFFFF" w:themeFill="background1"/>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1. Carta invitación:</w:t>
            </w:r>
            <w:r w:rsidRPr="001F4FF6">
              <w:rPr>
                <w:rFonts w:ascii="Lato" w:eastAsia="Times New Roman" w:hAnsi="Lato" w:cs="Calibri"/>
                <w:color w:val="595959" w:themeColor="text1" w:themeTint="A6"/>
                <w:sz w:val="20"/>
                <w:szCs w:val="20"/>
                <w:lang w:val="es-ES" w:eastAsia="es-MX"/>
              </w:rPr>
              <w:br/>
              <w:t>Especificaciones técnicas.</w:t>
            </w:r>
            <w:r w:rsidRPr="001F4FF6">
              <w:rPr>
                <w:rFonts w:ascii="Lato" w:eastAsia="Times New Roman" w:hAnsi="Lato" w:cs="Calibri"/>
                <w:color w:val="595959" w:themeColor="text1" w:themeTint="A6"/>
                <w:sz w:val="20"/>
                <w:szCs w:val="20"/>
                <w:lang w:val="es-ES" w:eastAsia="es-MX"/>
              </w:rPr>
              <w:br/>
              <w:t>Métodos de evaluación.</w:t>
            </w:r>
            <w:r w:rsidRPr="001F4FF6">
              <w:rPr>
                <w:rFonts w:ascii="Lato" w:eastAsia="Times New Roman" w:hAnsi="Lato" w:cs="Calibri"/>
                <w:color w:val="595959" w:themeColor="text1" w:themeTint="A6"/>
                <w:sz w:val="20"/>
                <w:szCs w:val="20"/>
                <w:lang w:val="es-ES" w:eastAsia="es-MX"/>
              </w:rPr>
              <w:br/>
              <w:t>Información general de tiempo, lugar y condiciones.</w:t>
            </w:r>
          </w:p>
        </w:tc>
      </w:tr>
      <w:tr w:rsidR="00C90843" w:rsidRPr="001F4FF6" w:rsidTr="00B211B4">
        <w:trPr>
          <w:trHeight w:val="345"/>
          <w:jc w:val="center"/>
        </w:trPr>
        <w:tc>
          <w:tcPr>
            <w:tcW w:w="1380" w:type="dxa"/>
            <w:vMerge/>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p>
        </w:tc>
        <w:tc>
          <w:tcPr>
            <w:tcW w:w="2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66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3828"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3544"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2. Preparación de la lista corta, al menos tres posibles proveedores.</w:t>
            </w:r>
          </w:p>
        </w:tc>
      </w:tr>
      <w:tr w:rsidR="00C90843" w:rsidRPr="001F4FF6" w:rsidTr="00B211B4">
        <w:trPr>
          <w:trHeight w:val="315"/>
          <w:jc w:val="center"/>
        </w:trPr>
        <w:tc>
          <w:tcPr>
            <w:tcW w:w="1380" w:type="dxa"/>
            <w:vMerge/>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p>
        </w:tc>
        <w:tc>
          <w:tcPr>
            <w:tcW w:w="2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66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3828"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3544"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 xml:space="preserve">3. Tabla comparativa y breve explicación que indique las razones </w:t>
            </w:r>
            <w:r w:rsidRPr="001F4FF6">
              <w:rPr>
                <w:rFonts w:ascii="Lato" w:eastAsia="Times New Roman" w:hAnsi="Lato" w:cs="Calibri"/>
                <w:color w:val="595959" w:themeColor="text1" w:themeTint="A6"/>
                <w:sz w:val="20"/>
                <w:szCs w:val="20"/>
                <w:lang w:val="es-ES" w:eastAsia="es-MX"/>
              </w:rPr>
              <w:lastRenderedPageBreak/>
              <w:t>de selección de uno de los tres proveedores.</w:t>
            </w:r>
          </w:p>
        </w:tc>
      </w:tr>
      <w:tr w:rsidR="00C90843" w:rsidRPr="001F4FF6" w:rsidTr="00B211B4">
        <w:trPr>
          <w:trHeight w:val="312"/>
          <w:jc w:val="center"/>
        </w:trPr>
        <w:tc>
          <w:tcPr>
            <w:tcW w:w="1380" w:type="dxa"/>
            <w:vMerge/>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p>
        </w:tc>
        <w:tc>
          <w:tcPr>
            <w:tcW w:w="2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66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3828"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3544"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4. Orden de compra.</w:t>
            </w:r>
          </w:p>
        </w:tc>
      </w:tr>
      <w:tr w:rsidR="00C90843" w:rsidRPr="001F4FF6" w:rsidTr="00B211B4">
        <w:trPr>
          <w:trHeight w:val="1065"/>
          <w:jc w:val="center"/>
        </w:trPr>
        <w:tc>
          <w:tcPr>
            <w:tcW w:w="1380" w:type="dxa"/>
            <w:vMerge/>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p>
        </w:tc>
        <w:tc>
          <w:tcPr>
            <w:tcW w:w="2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66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3828"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3544"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5. Declaración de Compromiso.</w:t>
            </w:r>
          </w:p>
        </w:tc>
      </w:tr>
      <w:tr w:rsidR="00C90843" w:rsidRPr="001F4FF6" w:rsidTr="00B211B4">
        <w:trPr>
          <w:trHeight w:val="552"/>
          <w:jc w:val="center"/>
        </w:trPr>
        <w:tc>
          <w:tcPr>
            <w:tcW w:w="1380" w:type="dxa"/>
            <w:vMerge/>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p>
        </w:tc>
        <w:tc>
          <w:tcPr>
            <w:tcW w:w="2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240" w:type="dxa"/>
            <w:vMerge w:val="restart"/>
            <w:shd w:val="clear" w:color="auto" w:fill="auto"/>
            <w:noWrap/>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&lt; 20 mil</w:t>
            </w:r>
          </w:p>
        </w:tc>
        <w:tc>
          <w:tcPr>
            <w:tcW w:w="1660" w:type="dxa"/>
            <w:vMerge w:val="restart"/>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Adquisición Directa</w:t>
            </w:r>
          </w:p>
        </w:tc>
        <w:tc>
          <w:tcPr>
            <w:tcW w:w="3828" w:type="dxa"/>
            <w:shd w:val="clear" w:color="auto" w:fill="D0CECE" w:themeFill="background2" w:themeFillShade="E6"/>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r w:rsidRPr="001F4FF6">
              <w:rPr>
                <w:rFonts w:ascii="Lato" w:eastAsia="Times New Roman" w:hAnsi="Lato" w:cs="Calibri"/>
                <w:b/>
                <w:bCs/>
                <w:color w:val="595959" w:themeColor="text1" w:themeTint="A6"/>
                <w:sz w:val="20"/>
                <w:szCs w:val="20"/>
                <w:lang w:val="es-ES" w:eastAsia="es-MX"/>
              </w:rPr>
              <w:t xml:space="preserve">Consultoría, Bienes y Servicios de No Consultoría </w:t>
            </w:r>
          </w:p>
        </w:tc>
        <w:tc>
          <w:tcPr>
            <w:tcW w:w="3544" w:type="dxa"/>
            <w:shd w:val="clear" w:color="auto" w:fill="D0CECE" w:themeFill="background2" w:themeFillShade="E6"/>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r w:rsidRPr="001F4FF6">
              <w:rPr>
                <w:rFonts w:ascii="Lato" w:eastAsia="Times New Roman" w:hAnsi="Lato" w:cs="Calibri"/>
                <w:b/>
                <w:bCs/>
                <w:color w:val="595959" w:themeColor="text1" w:themeTint="A6"/>
                <w:sz w:val="20"/>
                <w:szCs w:val="20"/>
                <w:lang w:val="es-ES" w:eastAsia="es-MX"/>
              </w:rPr>
              <w:t>Consultoría</w:t>
            </w:r>
          </w:p>
        </w:tc>
      </w:tr>
      <w:tr w:rsidR="00C90843" w:rsidRPr="001F4FF6" w:rsidTr="00B211B4">
        <w:trPr>
          <w:trHeight w:val="1380"/>
          <w:jc w:val="center"/>
        </w:trPr>
        <w:tc>
          <w:tcPr>
            <w:tcW w:w="1380" w:type="dxa"/>
            <w:vMerge/>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p>
        </w:tc>
        <w:tc>
          <w:tcPr>
            <w:tcW w:w="2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66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3828"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1. Invitación a presentar una Oferta/Propuesta a una sola persona jurídica y física calificada preseleccionada.</w:t>
            </w:r>
          </w:p>
        </w:tc>
        <w:tc>
          <w:tcPr>
            <w:tcW w:w="3544" w:type="dxa"/>
            <w:vMerge w:val="restart"/>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1. Términos de Referencia (TdR) detallados:</w:t>
            </w:r>
            <w:r w:rsidRPr="001F4FF6">
              <w:rPr>
                <w:rFonts w:ascii="Lato" w:eastAsia="Times New Roman" w:hAnsi="Lato" w:cs="Calibri"/>
                <w:color w:val="595959" w:themeColor="text1" w:themeTint="A6"/>
                <w:sz w:val="20"/>
                <w:szCs w:val="20"/>
                <w:lang w:val="es-ES" w:eastAsia="es-MX"/>
              </w:rPr>
              <w:br/>
              <w:t>Información general.</w:t>
            </w:r>
            <w:r w:rsidRPr="001F4FF6">
              <w:rPr>
                <w:rFonts w:ascii="Lato" w:eastAsia="Times New Roman" w:hAnsi="Lato" w:cs="Calibri"/>
                <w:color w:val="595959" w:themeColor="text1" w:themeTint="A6"/>
                <w:sz w:val="20"/>
                <w:szCs w:val="20"/>
                <w:lang w:val="es-ES" w:eastAsia="es-MX"/>
              </w:rPr>
              <w:br/>
              <w:t xml:space="preserve">Descripción de todo el proceso de la propuesta. </w:t>
            </w:r>
            <w:r w:rsidRPr="001F4FF6">
              <w:rPr>
                <w:rFonts w:ascii="Lato" w:eastAsia="Times New Roman" w:hAnsi="Lato" w:cs="Calibri"/>
                <w:color w:val="595959" w:themeColor="text1" w:themeTint="A6"/>
                <w:sz w:val="20"/>
                <w:szCs w:val="20"/>
                <w:lang w:val="es-ES" w:eastAsia="es-MX"/>
              </w:rPr>
              <w:br/>
              <w:t>Criterios de elegibilidad.</w:t>
            </w:r>
            <w:r w:rsidRPr="001F4FF6">
              <w:rPr>
                <w:rFonts w:ascii="Lato" w:eastAsia="Times New Roman" w:hAnsi="Lato" w:cs="Calibri"/>
                <w:color w:val="595959" w:themeColor="text1" w:themeTint="A6"/>
                <w:sz w:val="20"/>
                <w:szCs w:val="20"/>
                <w:lang w:val="es-ES" w:eastAsia="es-MX"/>
              </w:rPr>
              <w:br/>
              <w:t>Requisitos para la preparación de la propuesta.</w:t>
            </w:r>
            <w:r w:rsidRPr="001F4FF6">
              <w:rPr>
                <w:rFonts w:ascii="Lato" w:eastAsia="Times New Roman" w:hAnsi="Lato" w:cs="Calibri"/>
                <w:color w:val="595959" w:themeColor="text1" w:themeTint="A6"/>
                <w:sz w:val="20"/>
                <w:szCs w:val="20"/>
                <w:lang w:val="es-ES" w:eastAsia="es-MX"/>
              </w:rPr>
              <w:br/>
              <w:t>Método de evaluación.</w:t>
            </w:r>
            <w:r w:rsidRPr="001F4FF6">
              <w:rPr>
                <w:rFonts w:ascii="Lato" w:eastAsia="Times New Roman" w:hAnsi="Lato" w:cs="Calibri"/>
                <w:color w:val="595959" w:themeColor="text1" w:themeTint="A6"/>
                <w:sz w:val="20"/>
                <w:szCs w:val="20"/>
                <w:lang w:val="es-ES" w:eastAsia="es-MX"/>
              </w:rPr>
              <w:br/>
              <w:t xml:space="preserve">Especificaciones técnicas.                                                                   </w:t>
            </w:r>
          </w:p>
        </w:tc>
      </w:tr>
      <w:tr w:rsidR="00C90843" w:rsidRPr="001F4FF6" w:rsidTr="00B211B4">
        <w:trPr>
          <w:trHeight w:val="1080"/>
          <w:jc w:val="center"/>
        </w:trPr>
        <w:tc>
          <w:tcPr>
            <w:tcW w:w="1380" w:type="dxa"/>
            <w:vMerge/>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p>
        </w:tc>
        <w:tc>
          <w:tcPr>
            <w:tcW w:w="2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66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3828"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2. Descripción de funciones, una especificación o TdR.</w:t>
            </w:r>
          </w:p>
        </w:tc>
        <w:tc>
          <w:tcPr>
            <w:tcW w:w="3544"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r>
      <w:tr w:rsidR="00C90843" w:rsidRPr="001F4FF6" w:rsidTr="00B211B4">
        <w:trPr>
          <w:trHeight w:val="828"/>
          <w:jc w:val="center"/>
        </w:trPr>
        <w:tc>
          <w:tcPr>
            <w:tcW w:w="1380" w:type="dxa"/>
            <w:vMerge/>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p>
        </w:tc>
        <w:tc>
          <w:tcPr>
            <w:tcW w:w="2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66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3828"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3. Evaluación.</w:t>
            </w:r>
          </w:p>
        </w:tc>
        <w:tc>
          <w:tcPr>
            <w:tcW w:w="3544"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2. Recepción de CV y registro electrónico de propuesta técnica y financiera.</w:t>
            </w:r>
          </w:p>
        </w:tc>
      </w:tr>
      <w:tr w:rsidR="00C90843" w:rsidRPr="001F4FF6" w:rsidTr="00B211B4">
        <w:trPr>
          <w:trHeight w:val="552"/>
          <w:jc w:val="center"/>
        </w:trPr>
        <w:tc>
          <w:tcPr>
            <w:tcW w:w="1380" w:type="dxa"/>
            <w:vMerge/>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p>
        </w:tc>
        <w:tc>
          <w:tcPr>
            <w:tcW w:w="2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66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3828"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4. Contrato.</w:t>
            </w:r>
          </w:p>
        </w:tc>
        <w:tc>
          <w:tcPr>
            <w:tcW w:w="3544"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3. Negociación y adjudicación del contrato.</w:t>
            </w:r>
          </w:p>
        </w:tc>
      </w:tr>
      <w:tr w:rsidR="00C90843" w:rsidRPr="001F4FF6" w:rsidTr="00B211B4">
        <w:trPr>
          <w:trHeight w:val="312"/>
          <w:jc w:val="center"/>
        </w:trPr>
        <w:tc>
          <w:tcPr>
            <w:tcW w:w="1380" w:type="dxa"/>
            <w:vMerge/>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p>
        </w:tc>
        <w:tc>
          <w:tcPr>
            <w:tcW w:w="2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66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3828"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5. Declaración de Compromiso.</w:t>
            </w:r>
          </w:p>
        </w:tc>
        <w:tc>
          <w:tcPr>
            <w:tcW w:w="3544"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5. Declaración de Compromiso.</w:t>
            </w:r>
          </w:p>
        </w:tc>
      </w:tr>
      <w:tr w:rsidR="00C90843" w:rsidRPr="001F4FF6" w:rsidTr="00B211B4">
        <w:trPr>
          <w:trHeight w:val="312"/>
          <w:jc w:val="center"/>
        </w:trPr>
        <w:tc>
          <w:tcPr>
            <w:tcW w:w="1380" w:type="dxa"/>
            <w:vMerge/>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p>
        </w:tc>
        <w:tc>
          <w:tcPr>
            <w:tcW w:w="2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66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3828" w:type="dxa"/>
            <w:shd w:val="clear" w:color="auto" w:fill="FFFFFF" w:themeFill="background1"/>
            <w:vAlign w:val="center"/>
            <w:hideMark/>
          </w:tcPr>
          <w:p w:rsidR="00C90843" w:rsidRPr="001F4FF6" w:rsidRDefault="00C90843" w:rsidP="00B211B4">
            <w:pPr>
              <w:rPr>
                <w:rFonts w:ascii="Lato" w:eastAsia="Times New Roman" w:hAnsi="Lato" w:cs="Calibri"/>
                <w:b/>
                <w:bCs/>
                <w:i/>
                <w:iCs/>
                <w:color w:val="595959" w:themeColor="text1" w:themeTint="A6"/>
                <w:sz w:val="20"/>
                <w:szCs w:val="20"/>
                <w:lang w:val="es-ES" w:eastAsia="es-MX"/>
              </w:rPr>
            </w:pPr>
            <w:r w:rsidRPr="001F4FF6">
              <w:rPr>
                <w:rFonts w:ascii="Lato" w:eastAsia="Times New Roman" w:hAnsi="Lato" w:cs="Calibri"/>
                <w:b/>
                <w:bCs/>
                <w:i/>
                <w:iCs/>
                <w:color w:val="595959" w:themeColor="text1" w:themeTint="A6"/>
                <w:sz w:val="20"/>
                <w:szCs w:val="20"/>
                <w:lang w:val="es-ES" w:eastAsia="es-MX"/>
              </w:rPr>
              <w:t> </w:t>
            </w:r>
          </w:p>
        </w:tc>
        <w:tc>
          <w:tcPr>
            <w:tcW w:w="3544" w:type="dxa"/>
            <w:shd w:val="clear" w:color="auto" w:fill="D0CECE" w:themeFill="background2" w:themeFillShade="E6"/>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r w:rsidRPr="001F4FF6">
              <w:rPr>
                <w:rFonts w:ascii="Lato" w:eastAsia="Times New Roman" w:hAnsi="Lato" w:cs="Calibri"/>
                <w:b/>
                <w:bCs/>
                <w:color w:val="595959" w:themeColor="text1" w:themeTint="A6"/>
                <w:sz w:val="20"/>
                <w:szCs w:val="20"/>
                <w:lang w:val="es-ES" w:eastAsia="es-MX"/>
              </w:rPr>
              <w:t>Bienes y Servicios de No Consultoría</w:t>
            </w:r>
          </w:p>
        </w:tc>
      </w:tr>
      <w:tr w:rsidR="00C90843" w:rsidRPr="001F4FF6" w:rsidTr="00B211B4">
        <w:trPr>
          <w:trHeight w:val="552"/>
          <w:jc w:val="center"/>
        </w:trPr>
        <w:tc>
          <w:tcPr>
            <w:tcW w:w="1380" w:type="dxa"/>
            <w:vMerge/>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p>
        </w:tc>
        <w:tc>
          <w:tcPr>
            <w:tcW w:w="2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66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3828" w:type="dxa"/>
            <w:shd w:val="clear" w:color="auto" w:fill="FFFFFF" w:themeFill="background1"/>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 </w:t>
            </w:r>
          </w:p>
        </w:tc>
        <w:tc>
          <w:tcPr>
            <w:tcW w:w="3544"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1. Solicitud de oferta/propuesta a una sola persona.</w:t>
            </w:r>
          </w:p>
        </w:tc>
      </w:tr>
      <w:tr w:rsidR="00C90843" w:rsidRPr="001F4FF6" w:rsidTr="00B211B4">
        <w:trPr>
          <w:trHeight w:val="828"/>
          <w:jc w:val="center"/>
        </w:trPr>
        <w:tc>
          <w:tcPr>
            <w:tcW w:w="1380" w:type="dxa"/>
            <w:vMerge/>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p>
        </w:tc>
        <w:tc>
          <w:tcPr>
            <w:tcW w:w="2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66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3828" w:type="dxa"/>
            <w:shd w:val="clear" w:color="auto" w:fill="FFFFFF" w:themeFill="background1"/>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 </w:t>
            </w:r>
          </w:p>
        </w:tc>
        <w:tc>
          <w:tcPr>
            <w:tcW w:w="3544"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2. Una cotización que cumpla las especificaciones o funciones de los bienes o servicios a contratar.</w:t>
            </w:r>
          </w:p>
        </w:tc>
      </w:tr>
      <w:tr w:rsidR="00C90843" w:rsidRPr="001F4FF6" w:rsidTr="00B211B4">
        <w:trPr>
          <w:trHeight w:val="312"/>
          <w:jc w:val="center"/>
        </w:trPr>
        <w:tc>
          <w:tcPr>
            <w:tcW w:w="1380" w:type="dxa"/>
            <w:vMerge/>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p>
        </w:tc>
        <w:tc>
          <w:tcPr>
            <w:tcW w:w="2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66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3828" w:type="dxa"/>
            <w:shd w:val="clear" w:color="auto" w:fill="FFFFFF" w:themeFill="background1"/>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 </w:t>
            </w:r>
          </w:p>
        </w:tc>
        <w:tc>
          <w:tcPr>
            <w:tcW w:w="3544"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3. Orden de compra del proveedor</w:t>
            </w:r>
          </w:p>
        </w:tc>
      </w:tr>
      <w:tr w:rsidR="00C90843" w:rsidRPr="001F4FF6" w:rsidTr="00B211B4">
        <w:trPr>
          <w:trHeight w:val="324"/>
          <w:jc w:val="center"/>
        </w:trPr>
        <w:tc>
          <w:tcPr>
            <w:tcW w:w="1380" w:type="dxa"/>
            <w:vMerge/>
            <w:vAlign w:val="center"/>
            <w:hideMark/>
          </w:tcPr>
          <w:p w:rsidR="00C90843" w:rsidRPr="001F4FF6" w:rsidRDefault="00C90843" w:rsidP="00B211B4">
            <w:pPr>
              <w:rPr>
                <w:rFonts w:ascii="Lato" w:eastAsia="Times New Roman" w:hAnsi="Lato" w:cs="Calibri"/>
                <w:b/>
                <w:bCs/>
                <w:color w:val="595959" w:themeColor="text1" w:themeTint="A6"/>
                <w:sz w:val="20"/>
                <w:szCs w:val="20"/>
                <w:lang w:val="es-ES" w:eastAsia="es-MX"/>
              </w:rPr>
            </w:pPr>
          </w:p>
        </w:tc>
        <w:tc>
          <w:tcPr>
            <w:tcW w:w="2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24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1660" w:type="dxa"/>
            <w:vMerge/>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p>
        </w:tc>
        <w:tc>
          <w:tcPr>
            <w:tcW w:w="3828" w:type="dxa"/>
            <w:shd w:val="clear" w:color="auto" w:fill="FFFFFF" w:themeFill="background1"/>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 </w:t>
            </w:r>
          </w:p>
        </w:tc>
        <w:tc>
          <w:tcPr>
            <w:tcW w:w="3544" w:type="dxa"/>
            <w:shd w:val="clear" w:color="auto" w:fill="auto"/>
            <w:vAlign w:val="center"/>
            <w:hideMark/>
          </w:tcPr>
          <w:p w:rsidR="00C90843" w:rsidRPr="001F4FF6" w:rsidRDefault="00C90843" w:rsidP="00B211B4">
            <w:pPr>
              <w:rPr>
                <w:rFonts w:ascii="Lato" w:eastAsia="Times New Roman" w:hAnsi="Lato" w:cs="Calibri"/>
                <w:color w:val="595959" w:themeColor="text1" w:themeTint="A6"/>
                <w:sz w:val="20"/>
                <w:szCs w:val="20"/>
                <w:lang w:val="es-ES" w:eastAsia="es-MX"/>
              </w:rPr>
            </w:pPr>
            <w:r w:rsidRPr="001F4FF6">
              <w:rPr>
                <w:rFonts w:ascii="Lato" w:eastAsia="Times New Roman" w:hAnsi="Lato" w:cs="Calibri"/>
                <w:color w:val="595959" w:themeColor="text1" w:themeTint="A6"/>
                <w:sz w:val="20"/>
                <w:szCs w:val="20"/>
                <w:lang w:val="es-ES" w:eastAsia="es-MX"/>
              </w:rPr>
              <w:t xml:space="preserve">4. Declaración de Compromiso. </w:t>
            </w:r>
          </w:p>
        </w:tc>
      </w:tr>
    </w:tbl>
    <w:p w:rsidR="00C90843" w:rsidRDefault="00C90843" w:rsidP="00C90843"/>
    <w:p w:rsidR="00C90843" w:rsidRDefault="00C90843" w:rsidP="00C90843">
      <w:pPr>
        <w:keepLines/>
        <w:spacing w:beforeLines="120" w:before="288" w:afterLines="120" w:after="288" w:line="288" w:lineRule="auto"/>
        <w:rPr>
          <w:rFonts w:ascii="Lato" w:hAnsi="Lato"/>
          <w:b/>
          <w:bCs/>
          <w:color w:val="595959" w:themeColor="text1" w:themeTint="A6"/>
          <w:sz w:val="22"/>
          <w:szCs w:val="22"/>
          <w:lang w:val="es-ES"/>
        </w:rPr>
        <w:sectPr w:rsidR="00C90843" w:rsidSect="00542BAB">
          <w:headerReference w:type="default" r:id="rId13"/>
          <w:footerReference w:type="even" r:id="rId14"/>
          <w:footerReference w:type="default" r:id="rId15"/>
          <w:pgSz w:w="15840" w:h="12240" w:orient="landscape" w:code="1"/>
          <w:pgMar w:top="1701" w:right="2268" w:bottom="1701" w:left="1701" w:header="397" w:footer="397" w:gutter="0"/>
          <w:cols w:space="708"/>
          <w:docGrid w:linePitch="360"/>
        </w:sectPr>
      </w:pPr>
    </w:p>
    <w:p w:rsidR="00C90843" w:rsidRDefault="00C90843" w:rsidP="00C90843">
      <w:pPr>
        <w:keepLines/>
        <w:spacing w:beforeLines="120" w:before="288" w:afterLines="120" w:after="288" w:line="288" w:lineRule="auto"/>
        <w:jc w:val="center"/>
        <w:rPr>
          <w:rFonts w:ascii="Lato" w:hAnsi="Lato"/>
          <w:b/>
          <w:bCs/>
          <w:color w:val="595959" w:themeColor="text1" w:themeTint="A6"/>
          <w:sz w:val="22"/>
          <w:szCs w:val="22"/>
          <w:lang w:val="es-ES"/>
        </w:rPr>
      </w:pPr>
    </w:p>
    <w:p w:rsidR="00C90843" w:rsidRDefault="00C90843" w:rsidP="00C90843">
      <w:pPr>
        <w:keepLines/>
        <w:spacing w:beforeLines="120" w:before="288" w:afterLines="120" w:after="288" w:line="288" w:lineRule="auto"/>
        <w:jc w:val="center"/>
        <w:rPr>
          <w:rFonts w:ascii="Lato" w:hAnsi="Lato"/>
          <w:b/>
          <w:bCs/>
          <w:color w:val="595959" w:themeColor="text1" w:themeTint="A6"/>
          <w:sz w:val="22"/>
          <w:szCs w:val="22"/>
          <w:lang w:val="es-ES"/>
        </w:rPr>
      </w:pPr>
      <w:r w:rsidRPr="001F4FF6">
        <w:rPr>
          <w:rFonts w:ascii="Lato" w:hAnsi="Lato"/>
          <w:b/>
          <w:bCs/>
          <w:color w:val="595959" w:themeColor="text1" w:themeTint="A6"/>
          <w:sz w:val="22"/>
          <w:szCs w:val="22"/>
          <w:lang w:val="es-ES"/>
        </w:rPr>
        <w:t>DECLARACIÓN DE COMPROMISO</w:t>
      </w:r>
    </w:p>
    <w:p w:rsidR="00C90843" w:rsidRPr="001F4FF6" w:rsidRDefault="00C90843" w:rsidP="00C90843">
      <w:pPr>
        <w:keepLines/>
        <w:spacing w:beforeLines="120" w:before="288" w:afterLines="120" w:after="288" w:line="288" w:lineRule="auto"/>
        <w:jc w:val="center"/>
        <w:rPr>
          <w:rFonts w:ascii="Lato" w:hAnsi="Lato"/>
          <w:b/>
          <w:bCs/>
          <w:color w:val="595959" w:themeColor="text1" w:themeTint="A6"/>
          <w:sz w:val="22"/>
          <w:szCs w:val="22"/>
          <w:lang w:val="es-ES"/>
        </w:rPr>
      </w:pP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414"/>
        <w:gridCol w:w="4414"/>
      </w:tblGrid>
      <w:tr w:rsidR="00C90843" w:rsidRPr="001F4FF6" w:rsidTr="00B211B4">
        <w:tc>
          <w:tcPr>
            <w:tcW w:w="4414" w:type="dxa"/>
          </w:tcPr>
          <w:p w:rsidR="00C90843" w:rsidRPr="001F4FF6" w:rsidRDefault="00C90843" w:rsidP="00B211B4">
            <w:pPr>
              <w:keepLines/>
              <w:spacing w:beforeLines="50" w:before="120" w:afterLines="50" w:after="120" w:line="288" w:lineRule="auto"/>
              <w:rPr>
                <w:rFonts w:ascii="Lato" w:hAnsi="Lato"/>
                <w:color w:val="595959" w:themeColor="text1" w:themeTint="A6"/>
                <w:lang w:val="es-ES"/>
              </w:rPr>
            </w:pPr>
            <w:r w:rsidRPr="001F4FF6">
              <w:rPr>
                <w:rFonts w:ascii="Lato" w:hAnsi="Lato"/>
                <w:color w:val="595959" w:themeColor="text1" w:themeTint="A6"/>
                <w:lang w:val="es-ES"/>
              </w:rPr>
              <w:t>Nombre de referencia de la Solicitud/Oferta/Propuesta/el Contrato:</w:t>
            </w:r>
          </w:p>
        </w:tc>
        <w:tc>
          <w:tcPr>
            <w:tcW w:w="4414" w:type="dxa"/>
          </w:tcPr>
          <w:p w:rsidR="00C90843" w:rsidRPr="001F4FF6" w:rsidRDefault="00C90843" w:rsidP="00B211B4">
            <w:pPr>
              <w:keepLines/>
              <w:spacing w:beforeLines="50" w:before="120" w:afterLines="50" w:after="120" w:line="288" w:lineRule="auto"/>
              <w:jc w:val="right"/>
              <w:rPr>
                <w:rFonts w:ascii="Lato" w:hAnsi="Lato"/>
                <w:color w:val="595959" w:themeColor="text1" w:themeTint="A6"/>
                <w:lang w:val="es-ES"/>
              </w:rPr>
            </w:pPr>
            <w:r w:rsidRPr="001F4FF6">
              <w:rPr>
                <w:rFonts w:ascii="Lato" w:hAnsi="Lato"/>
                <w:color w:val="595959" w:themeColor="text1" w:themeTint="A6"/>
                <w:lang w:val="es-ES"/>
              </w:rPr>
              <w:t>(el “Contrato”</w:t>
            </w:r>
            <w:r w:rsidRPr="001F4FF6">
              <w:rPr>
                <w:rStyle w:val="Refdenotaalpie"/>
                <w:rFonts w:ascii="Lato" w:hAnsi="Lato"/>
                <w:color w:val="595959" w:themeColor="text1" w:themeTint="A6"/>
                <w:lang w:val="es-ES"/>
              </w:rPr>
              <w:footnoteReference w:id="3"/>
            </w:r>
            <w:r w:rsidRPr="001F4FF6">
              <w:rPr>
                <w:rFonts w:ascii="Lato" w:hAnsi="Lato"/>
                <w:color w:val="595959" w:themeColor="text1" w:themeTint="A6"/>
                <w:lang w:val="es-ES"/>
              </w:rPr>
              <w:t xml:space="preserve">) </w:t>
            </w:r>
          </w:p>
        </w:tc>
      </w:tr>
      <w:tr w:rsidR="00C90843" w:rsidRPr="001F4FF6" w:rsidTr="00B211B4">
        <w:tc>
          <w:tcPr>
            <w:tcW w:w="4414" w:type="dxa"/>
          </w:tcPr>
          <w:p w:rsidR="00C90843" w:rsidRPr="001F4FF6" w:rsidRDefault="00C90843" w:rsidP="00B211B4">
            <w:pPr>
              <w:keepLines/>
              <w:spacing w:beforeLines="50" w:before="120" w:afterLines="50" w:after="120" w:line="288" w:lineRule="auto"/>
              <w:rPr>
                <w:rFonts w:ascii="Lato" w:hAnsi="Lato"/>
                <w:color w:val="595959" w:themeColor="text1" w:themeTint="A6"/>
                <w:lang w:val="es-ES"/>
              </w:rPr>
            </w:pPr>
            <w:r w:rsidRPr="001F4FF6">
              <w:rPr>
                <w:rFonts w:ascii="Lato" w:hAnsi="Lato"/>
                <w:color w:val="595959" w:themeColor="text1" w:themeTint="A6"/>
                <w:lang w:val="es-ES"/>
              </w:rPr>
              <w:t xml:space="preserve">A: </w:t>
            </w:r>
          </w:p>
        </w:tc>
        <w:tc>
          <w:tcPr>
            <w:tcW w:w="4414" w:type="dxa"/>
          </w:tcPr>
          <w:p w:rsidR="00C90843" w:rsidRPr="001F4FF6" w:rsidRDefault="00C90843" w:rsidP="00B211B4">
            <w:pPr>
              <w:keepLines/>
              <w:spacing w:beforeLines="50" w:before="120" w:afterLines="50" w:after="120" w:line="288" w:lineRule="auto"/>
              <w:jc w:val="right"/>
              <w:rPr>
                <w:rFonts w:ascii="Lato" w:hAnsi="Lato"/>
                <w:color w:val="595959" w:themeColor="text1" w:themeTint="A6"/>
                <w:lang w:val="es-ES"/>
              </w:rPr>
            </w:pPr>
            <w:r w:rsidRPr="001F4FF6">
              <w:rPr>
                <w:rFonts w:ascii="Lato" w:hAnsi="Lato"/>
                <w:color w:val="595959" w:themeColor="text1" w:themeTint="A6"/>
                <w:lang w:val="es-ES"/>
              </w:rPr>
              <w:t>(la “Entidad Ejecutora del Proyecto”)</w:t>
            </w:r>
          </w:p>
        </w:tc>
      </w:tr>
      <w:tr w:rsidR="00C90843" w:rsidRPr="001F4FF6" w:rsidTr="00B211B4">
        <w:tc>
          <w:tcPr>
            <w:tcW w:w="4414" w:type="dxa"/>
          </w:tcPr>
          <w:p w:rsidR="00C90843" w:rsidRPr="001F4FF6" w:rsidRDefault="00C90843" w:rsidP="00B211B4">
            <w:pPr>
              <w:keepLines/>
              <w:spacing w:beforeLines="50" w:before="120" w:afterLines="50" w:after="120" w:line="288" w:lineRule="auto"/>
              <w:rPr>
                <w:rFonts w:ascii="Lato" w:hAnsi="Lato"/>
                <w:color w:val="595959" w:themeColor="text1" w:themeTint="A6"/>
                <w:lang w:val="es-ES"/>
              </w:rPr>
            </w:pPr>
          </w:p>
        </w:tc>
        <w:tc>
          <w:tcPr>
            <w:tcW w:w="4414" w:type="dxa"/>
          </w:tcPr>
          <w:p w:rsidR="00C90843" w:rsidRPr="001F4FF6" w:rsidRDefault="00C90843" w:rsidP="00B211B4">
            <w:pPr>
              <w:keepLines/>
              <w:spacing w:beforeLines="50" w:before="120" w:afterLines="50" w:after="120" w:line="288" w:lineRule="auto"/>
              <w:jc w:val="right"/>
              <w:rPr>
                <w:rFonts w:ascii="Lato" w:hAnsi="Lato"/>
                <w:color w:val="595959" w:themeColor="text1" w:themeTint="A6"/>
                <w:lang w:val="es-ES"/>
              </w:rPr>
            </w:pPr>
          </w:p>
        </w:tc>
      </w:tr>
    </w:tbl>
    <w:p w:rsidR="00C90843" w:rsidRPr="001F4FF6" w:rsidRDefault="00C90843" w:rsidP="00387388">
      <w:pPr>
        <w:pStyle w:val="Prrafodelista"/>
        <w:keepLines/>
        <w:numPr>
          <w:ilvl w:val="0"/>
          <w:numId w:val="5"/>
        </w:numPr>
        <w:spacing w:beforeLines="120" w:before="288" w:afterLines="120" w:after="288" w:line="288" w:lineRule="auto"/>
        <w:jc w:val="both"/>
        <w:rPr>
          <w:rFonts w:ascii="Lato" w:hAnsi="Lato"/>
          <w:color w:val="595959" w:themeColor="text1" w:themeTint="A6"/>
          <w:lang w:val="es-ES"/>
        </w:rPr>
      </w:pPr>
      <w:r w:rsidRPr="001F4FF6">
        <w:rPr>
          <w:rFonts w:ascii="Lato" w:hAnsi="Lato"/>
          <w:color w:val="595959" w:themeColor="text1" w:themeTint="A6"/>
          <w:lang w:val="es-ES"/>
        </w:rPr>
        <w:t>Reconocemos y aceptamos que el KfW sólo financia los proyectos de la Entidad Ejecutora del Proyecto ("EEP")</w:t>
      </w:r>
      <w:r w:rsidRPr="001F4FF6">
        <w:rPr>
          <w:rStyle w:val="Refdenotaalpie"/>
          <w:rFonts w:ascii="Lato" w:hAnsi="Lato"/>
          <w:color w:val="595959" w:themeColor="text1" w:themeTint="A6"/>
          <w:lang w:val="es-ES"/>
        </w:rPr>
        <w:footnoteReference w:id="4"/>
      </w:r>
      <w:r w:rsidRPr="001F4FF6">
        <w:rPr>
          <w:rFonts w:ascii="Lato" w:hAnsi="Lato"/>
          <w:color w:val="595959" w:themeColor="text1" w:themeTint="A6"/>
          <w:lang w:val="es-ES"/>
        </w:rPr>
        <w:t xml:space="preserve"> con sujeción a sus propias condiciones, las cuales están establecidas en el Acuerdo de Financiamiento que ha suscrito con la EEP. Por consiguiente, no existen vínculos de derecho entre el KfW y nuestra empresa, nuestro Consorcio o nuestros Subcontratistas en el marco del Contrato. La EEP mantiene la responsabilidad exclusiva por la preparación y la implementación del procedimiento de Oferta y la ejecución del Contrato.</w:t>
      </w:r>
    </w:p>
    <w:p w:rsidR="00C90843" w:rsidRPr="001F4FF6" w:rsidRDefault="00C90843" w:rsidP="00C90843">
      <w:pPr>
        <w:pStyle w:val="Prrafodelista"/>
        <w:keepLines/>
        <w:spacing w:beforeLines="120" w:before="288" w:afterLines="120" w:after="288" w:line="288" w:lineRule="auto"/>
        <w:ind w:left="851"/>
        <w:jc w:val="both"/>
        <w:rPr>
          <w:rFonts w:ascii="Lato" w:hAnsi="Lato"/>
          <w:color w:val="595959" w:themeColor="text1" w:themeTint="A6"/>
          <w:lang w:val="es-ES"/>
        </w:rPr>
      </w:pPr>
    </w:p>
    <w:p w:rsidR="00C90843" w:rsidRPr="001F4FF6" w:rsidRDefault="00C90843" w:rsidP="00387388">
      <w:pPr>
        <w:pStyle w:val="Prrafodelista"/>
        <w:keepLines/>
        <w:numPr>
          <w:ilvl w:val="0"/>
          <w:numId w:val="5"/>
        </w:numPr>
        <w:spacing w:beforeLines="120" w:before="288" w:afterLines="120" w:after="288" w:line="288" w:lineRule="auto"/>
        <w:jc w:val="both"/>
        <w:rPr>
          <w:rFonts w:ascii="Lato" w:hAnsi="Lato"/>
          <w:color w:val="595959" w:themeColor="text1" w:themeTint="A6"/>
          <w:lang w:val="es-ES"/>
        </w:rPr>
      </w:pPr>
      <w:r w:rsidRPr="001F4FF6">
        <w:rPr>
          <w:rFonts w:ascii="Lato" w:hAnsi="Lato"/>
          <w:color w:val="595959" w:themeColor="text1" w:themeTint="A6"/>
          <w:lang w:val="es-ES"/>
        </w:rPr>
        <w:t>Certificamos que no nos encontramos, ni ningún miembro de la junta directiva o representantes legales ni ningún otro miembro de nuestro Consorcio se encuentra, incluidos Subcontratistas en el marco del Contrato, en ninguna de las siguientes situaciones:</w:t>
      </w:r>
    </w:p>
    <w:p w:rsidR="00C90843" w:rsidRPr="001F4FF6" w:rsidRDefault="00C90843" w:rsidP="00C90843">
      <w:pPr>
        <w:pStyle w:val="Prrafodelista"/>
        <w:rPr>
          <w:rFonts w:ascii="Lato" w:hAnsi="Lato"/>
          <w:color w:val="595959" w:themeColor="text1" w:themeTint="A6"/>
          <w:lang w:val="es-ES"/>
        </w:rPr>
      </w:pPr>
    </w:p>
    <w:p w:rsidR="00C90843" w:rsidRPr="001F4FF6" w:rsidRDefault="00C90843" w:rsidP="00387388">
      <w:pPr>
        <w:pStyle w:val="Prrafodelista"/>
        <w:keepLines/>
        <w:numPr>
          <w:ilvl w:val="1"/>
          <w:numId w:val="5"/>
        </w:numPr>
        <w:spacing w:beforeLines="120" w:before="288" w:afterLines="120" w:after="288" w:line="288" w:lineRule="auto"/>
        <w:jc w:val="both"/>
        <w:rPr>
          <w:rFonts w:ascii="Lato" w:hAnsi="Lato"/>
          <w:color w:val="595959" w:themeColor="text1" w:themeTint="A6"/>
          <w:lang w:val="es-ES"/>
        </w:rPr>
      </w:pPr>
      <w:r w:rsidRPr="001F4FF6">
        <w:rPr>
          <w:rFonts w:ascii="Lato" w:hAnsi="Lato"/>
          <w:color w:val="595959" w:themeColor="text1" w:themeTint="A6"/>
          <w:lang w:val="es-ES"/>
        </w:rPr>
        <w:t>estar en o haber sido objeto de un procedimiento de quiebra, de liquidación, de administración judicial, de salvaguarda, de cesación de actividad o estar en cualquier otra situación análoga;</w:t>
      </w:r>
    </w:p>
    <w:p w:rsidR="00C90843" w:rsidRPr="001F4FF6" w:rsidRDefault="00C90843" w:rsidP="00C90843">
      <w:pPr>
        <w:pStyle w:val="Prrafodelista"/>
        <w:keepLines/>
        <w:spacing w:beforeLines="120" w:before="288" w:afterLines="120" w:after="288" w:line="288" w:lineRule="auto"/>
        <w:ind w:left="792"/>
        <w:jc w:val="both"/>
        <w:rPr>
          <w:rFonts w:ascii="Lato" w:hAnsi="Lato"/>
          <w:color w:val="595959" w:themeColor="text1" w:themeTint="A6"/>
          <w:lang w:val="es-ES"/>
        </w:rPr>
      </w:pPr>
    </w:p>
    <w:p w:rsidR="00C90843" w:rsidRPr="001F4FF6" w:rsidRDefault="00C90843" w:rsidP="00387388">
      <w:pPr>
        <w:pStyle w:val="Prrafodelista"/>
        <w:keepLines/>
        <w:numPr>
          <w:ilvl w:val="1"/>
          <w:numId w:val="5"/>
        </w:numPr>
        <w:spacing w:beforeLines="120" w:before="288" w:afterLines="120" w:after="288" w:line="288" w:lineRule="auto"/>
        <w:jc w:val="both"/>
        <w:rPr>
          <w:rFonts w:ascii="Lato" w:hAnsi="Lato"/>
          <w:color w:val="595959" w:themeColor="text1" w:themeTint="A6"/>
          <w:lang w:val="es-ES"/>
        </w:rPr>
      </w:pPr>
      <w:r w:rsidRPr="001F4FF6">
        <w:rPr>
          <w:rFonts w:ascii="Lato" w:hAnsi="Lato"/>
          <w:color w:val="595959" w:themeColor="text1" w:themeTint="A6"/>
          <w:lang w:val="es-ES"/>
        </w:rPr>
        <w:lastRenderedPageBreak/>
        <w:t>haber sido objeto de una condena por sentencia en firme o una decisión administrativa definitiva o sujeto a sanciones económicas por Naciones Unidas, la Unión Europea o Alemania por su implicación en una organización criminal, lavado de dinero, delitos relacionados con el terrorismo, trabajo infantil o tráfico de seres humanos; este criterio de exclusión también es aplicable a personas jurídicas cuya mayoría de acciones esté en manos o controlada de facto por personas físicas o jurídicas que a su vez hayan sido objeto de tales condenas o sanciones;</w:t>
      </w:r>
    </w:p>
    <w:p w:rsidR="00C90843" w:rsidRPr="001F4FF6" w:rsidRDefault="00C90843" w:rsidP="00C90843">
      <w:pPr>
        <w:pStyle w:val="Prrafodelista"/>
        <w:rPr>
          <w:rFonts w:ascii="Lato" w:hAnsi="Lato"/>
          <w:color w:val="595959" w:themeColor="text1" w:themeTint="A6"/>
          <w:lang w:val="es-ES"/>
        </w:rPr>
      </w:pPr>
    </w:p>
    <w:p w:rsidR="00C90843" w:rsidRPr="001F4FF6" w:rsidRDefault="00C90843" w:rsidP="00387388">
      <w:pPr>
        <w:pStyle w:val="Prrafodelista"/>
        <w:keepLines/>
        <w:numPr>
          <w:ilvl w:val="1"/>
          <w:numId w:val="5"/>
        </w:numPr>
        <w:spacing w:beforeLines="120" w:before="288" w:afterLines="120" w:after="288" w:line="288" w:lineRule="auto"/>
        <w:jc w:val="both"/>
        <w:rPr>
          <w:rFonts w:ascii="Lato" w:hAnsi="Lato"/>
          <w:color w:val="595959" w:themeColor="text1" w:themeTint="A6"/>
          <w:lang w:val="es-ES"/>
        </w:rPr>
      </w:pPr>
      <w:r w:rsidRPr="001F4FF6">
        <w:rPr>
          <w:rFonts w:ascii="Lato" w:hAnsi="Lato"/>
          <w:color w:val="595959" w:themeColor="text1" w:themeTint="A6"/>
          <w:lang w:val="es-ES"/>
        </w:rPr>
        <w:t>haber sido objeto de una condena pronunciada mediante una sentencia judicial en firme o una decisión administrativa definitiva por un tribunal, por la Unión Europea, por autoridades nacionales del País Socio o en Alemania por prácticas sancionables en relación con un procedimiento de Oferta o la ejecución de un Contrato o una irregularidad cualquiera que afecte a los intereses financieros de la Unión Europea (</w:t>
      </w:r>
      <w:r w:rsidRPr="001F4FF6">
        <w:rPr>
          <w:rFonts w:ascii="Lato" w:hAnsi="Lato"/>
          <w:i/>
          <w:iCs/>
          <w:color w:val="595959" w:themeColor="text1" w:themeTint="A6"/>
          <w:lang w:val="es-ES"/>
        </w:rPr>
        <w:t>en el supuesto de tal condena, el Postulante u Oferente adjuntará a la presente Declaración de Compromiso la información complementaria que permita estimar que esta condena no es pertinente en el marco de este Contrato y que en respuesta a la misma se han adoptado medidas de cumplimiento adecuadas</w:t>
      </w:r>
      <w:r w:rsidRPr="001F4FF6">
        <w:rPr>
          <w:rFonts w:ascii="Lato" w:hAnsi="Lato"/>
          <w:color w:val="595959" w:themeColor="text1" w:themeTint="A6"/>
          <w:lang w:val="es-ES"/>
        </w:rPr>
        <w:t>);</w:t>
      </w:r>
    </w:p>
    <w:p w:rsidR="00C90843" w:rsidRPr="001F4FF6" w:rsidRDefault="00C90843" w:rsidP="00C90843">
      <w:pPr>
        <w:pStyle w:val="Prrafodelista"/>
        <w:rPr>
          <w:rFonts w:ascii="Lato" w:hAnsi="Lato"/>
          <w:color w:val="595959" w:themeColor="text1" w:themeTint="A6"/>
          <w:lang w:val="es-ES"/>
        </w:rPr>
      </w:pPr>
    </w:p>
    <w:p w:rsidR="00C90843" w:rsidRPr="001F4FF6" w:rsidRDefault="00C90843" w:rsidP="00387388">
      <w:pPr>
        <w:pStyle w:val="Prrafodelista"/>
        <w:keepLines/>
        <w:numPr>
          <w:ilvl w:val="1"/>
          <w:numId w:val="5"/>
        </w:numPr>
        <w:spacing w:beforeLines="120" w:before="288" w:afterLines="120" w:after="288" w:line="288" w:lineRule="auto"/>
        <w:jc w:val="both"/>
        <w:rPr>
          <w:rFonts w:ascii="Lato" w:hAnsi="Lato"/>
          <w:color w:val="595959" w:themeColor="text1" w:themeTint="A6"/>
          <w:lang w:val="es-ES"/>
        </w:rPr>
      </w:pPr>
      <w:r w:rsidRPr="001F4FF6">
        <w:rPr>
          <w:rFonts w:ascii="Lato" w:hAnsi="Lato"/>
          <w:color w:val="595959" w:themeColor="text1" w:themeTint="A6"/>
          <w:lang w:val="es-ES"/>
        </w:rPr>
        <w:t>haber sido objeto de una rescisión de Contrato pronunciada por causas atribuibles a nosotros mismos en el transcurso de los últimos cinco años debido a un incumplimiento grave o persistente de nuestras obligaciones contractuales durante la ejecución de un Contrato, excepto si esta rescisión fue objeto de una impugnación y la resolución del litigio está todavía en curso o no ha confirmado una sentencia en contra de nosotros;</w:t>
      </w:r>
    </w:p>
    <w:p w:rsidR="00C90843" w:rsidRPr="001F4FF6" w:rsidRDefault="00C90843" w:rsidP="00C90843">
      <w:pPr>
        <w:pStyle w:val="Prrafodelista"/>
        <w:rPr>
          <w:rFonts w:ascii="Lato" w:hAnsi="Lato"/>
          <w:color w:val="595959" w:themeColor="text1" w:themeTint="A6"/>
          <w:lang w:val="es-ES"/>
        </w:rPr>
      </w:pPr>
    </w:p>
    <w:p w:rsidR="00C90843" w:rsidRPr="001F4FF6" w:rsidRDefault="00C90843" w:rsidP="00387388">
      <w:pPr>
        <w:pStyle w:val="Prrafodelista"/>
        <w:keepLines/>
        <w:numPr>
          <w:ilvl w:val="1"/>
          <w:numId w:val="5"/>
        </w:numPr>
        <w:spacing w:beforeLines="120" w:before="288" w:afterLines="120" w:after="288" w:line="288" w:lineRule="auto"/>
        <w:jc w:val="both"/>
        <w:rPr>
          <w:rFonts w:ascii="Lato" w:hAnsi="Lato"/>
          <w:color w:val="595959" w:themeColor="text1" w:themeTint="A6"/>
          <w:lang w:val="es-ES"/>
        </w:rPr>
      </w:pPr>
      <w:r w:rsidRPr="001F4FF6">
        <w:rPr>
          <w:rFonts w:ascii="Lato" w:hAnsi="Lato"/>
          <w:color w:val="595959" w:themeColor="text1" w:themeTint="A6"/>
          <w:lang w:val="es-ES"/>
        </w:rPr>
        <w:t>no haber cumplido nuestras obligaciones respecto al pago de nuestros impuestos de acuerdo con las disposiciones legales del país donde estamos constituidos o las del país de la EEP;</w:t>
      </w:r>
    </w:p>
    <w:p w:rsidR="00C90843" w:rsidRPr="001F4FF6" w:rsidRDefault="00C90843" w:rsidP="00C90843">
      <w:pPr>
        <w:pStyle w:val="Prrafodelista"/>
        <w:rPr>
          <w:rFonts w:ascii="Lato" w:hAnsi="Lato"/>
          <w:color w:val="595959" w:themeColor="text1" w:themeTint="A6"/>
          <w:lang w:val="es-ES"/>
        </w:rPr>
      </w:pPr>
    </w:p>
    <w:p w:rsidR="00C90843" w:rsidRPr="001F4FF6" w:rsidRDefault="00C90843" w:rsidP="00387388">
      <w:pPr>
        <w:pStyle w:val="Prrafodelista"/>
        <w:keepLines/>
        <w:numPr>
          <w:ilvl w:val="1"/>
          <w:numId w:val="5"/>
        </w:numPr>
        <w:spacing w:beforeLines="120" w:before="288" w:afterLines="120" w:after="288" w:line="288" w:lineRule="auto"/>
        <w:jc w:val="both"/>
        <w:rPr>
          <w:rFonts w:ascii="Lato" w:hAnsi="Lato"/>
          <w:color w:val="595959" w:themeColor="text1" w:themeTint="A6"/>
          <w:lang w:val="es-ES"/>
        </w:rPr>
      </w:pPr>
      <w:r w:rsidRPr="001F4FF6">
        <w:rPr>
          <w:rFonts w:ascii="Lato" w:hAnsi="Lato"/>
          <w:color w:val="595959" w:themeColor="text1" w:themeTint="A6"/>
          <w:lang w:val="es-ES"/>
        </w:rPr>
        <w:lastRenderedPageBreak/>
        <w:t xml:space="preserve">estar sujeto a una decisión de exclusión pronunciada por el Banco Mundial o por otro banco de desarrollo multilateral y por este concepto figurar en la lista publicada en la dirección electrónica </w:t>
      </w:r>
      <w:r w:rsidRPr="00782B30">
        <w:rPr>
          <w:rFonts w:ascii="Lato" w:hAnsi="Lato"/>
          <w:color w:val="595959" w:themeColor="text1" w:themeTint="A6"/>
          <w:lang w:val="es-ES"/>
        </w:rPr>
        <w:t>http://www.worldbank.org/debarr</w:t>
      </w:r>
      <w:r w:rsidRPr="001F4FF6">
        <w:rPr>
          <w:rFonts w:ascii="Lato" w:hAnsi="Lato"/>
          <w:color w:val="595959" w:themeColor="text1" w:themeTint="A6"/>
          <w:lang w:val="es-ES"/>
        </w:rPr>
        <w:t xml:space="preserve"> o en la lista respectiva de cualquier otro banco de desarrollo multilateral (en el supuesto de dicha exclusión, el Postulante u Oferente adjuntará a la presente Declaración de Compromiso la información complementaria que permita estimar que esta exclusión no es pertinente en el marco del presente Contrato y de que, en respuesta, se han adoptado medidas de cumplimiento adecuadas); o bien</w:t>
      </w:r>
    </w:p>
    <w:p w:rsidR="00C90843" w:rsidRPr="001F4FF6" w:rsidRDefault="00C90843" w:rsidP="00C90843">
      <w:pPr>
        <w:pStyle w:val="Prrafodelista"/>
        <w:rPr>
          <w:rFonts w:ascii="Lato" w:hAnsi="Lato"/>
          <w:color w:val="595959" w:themeColor="text1" w:themeTint="A6"/>
          <w:lang w:val="es-ES"/>
        </w:rPr>
      </w:pPr>
    </w:p>
    <w:p w:rsidR="00C90843" w:rsidRPr="001F4FF6" w:rsidRDefault="00C90843" w:rsidP="00387388">
      <w:pPr>
        <w:pStyle w:val="Prrafodelista"/>
        <w:keepLines/>
        <w:numPr>
          <w:ilvl w:val="1"/>
          <w:numId w:val="5"/>
        </w:numPr>
        <w:spacing w:beforeLines="120" w:before="288" w:afterLines="120" w:after="288" w:line="288" w:lineRule="auto"/>
        <w:jc w:val="both"/>
        <w:rPr>
          <w:rFonts w:ascii="Lato" w:hAnsi="Lato"/>
          <w:color w:val="595959" w:themeColor="text1" w:themeTint="A6"/>
          <w:lang w:val="es-ES"/>
        </w:rPr>
      </w:pPr>
      <w:r w:rsidRPr="001F4FF6">
        <w:rPr>
          <w:rFonts w:ascii="Lato" w:hAnsi="Lato"/>
          <w:color w:val="595959" w:themeColor="text1" w:themeTint="A6"/>
          <w:lang w:val="es-ES"/>
        </w:rPr>
        <w:t>haber incurrido en falsas declaraciones al facilitar la información exigida como condición para participar en el presente concurso.</w:t>
      </w:r>
    </w:p>
    <w:p w:rsidR="00C90843" w:rsidRPr="001F4FF6" w:rsidRDefault="00C90843" w:rsidP="00C90843">
      <w:pPr>
        <w:pStyle w:val="Prrafodelista"/>
        <w:keepLines/>
        <w:spacing w:beforeLines="120" w:before="288" w:afterLines="120" w:after="288" w:line="288" w:lineRule="auto"/>
        <w:ind w:left="792"/>
        <w:jc w:val="both"/>
        <w:rPr>
          <w:rFonts w:ascii="Lato" w:hAnsi="Lato"/>
          <w:color w:val="595959" w:themeColor="text1" w:themeTint="A6"/>
          <w:lang w:val="es-ES"/>
        </w:rPr>
      </w:pPr>
    </w:p>
    <w:p w:rsidR="00C90843" w:rsidRDefault="00C90843" w:rsidP="00387388">
      <w:pPr>
        <w:pStyle w:val="Prrafodelista"/>
        <w:keepLines/>
        <w:numPr>
          <w:ilvl w:val="0"/>
          <w:numId w:val="5"/>
        </w:numPr>
        <w:spacing w:beforeLines="120" w:before="288" w:afterLines="120" w:after="288" w:line="288" w:lineRule="auto"/>
        <w:jc w:val="both"/>
        <w:rPr>
          <w:rFonts w:ascii="Lato" w:hAnsi="Lato"/>
          <w:color w:val="595959" w:themeColor="text1" w:themeTint="A6"/>
          <w:lang w:val="es-ES"/>
        </w:rPr>
      </w:pPr>
      <w:r w:rsidRPr="001F4FF6">
        <w:rPr>
          <w:rFonts w:ascii="Lato" w:hAnsi="Lato"/>
          <w:color w:val="595959" w:themeColor="text1" w:themeTint="A6"/>
          <w:lang w:val="es-ES"/>
        </w:rPr>
        <w:t>Certificamos que no nos encontramos, ni ningún miembro de nuestro Consorcio ni ninguno de nuestros Subcontratistas en el marco del Contrato se encuentra, en ninguna de las siguientes situaciones de conflicto de interés:</w:t>
      </w:r>
    </w:p>
    <w:p w:rsidR="00C90843" w:rsidRPr="001F4FF6" w:rsidRDefault="00C90843" w:rsidP="00C90843">
      <w:pPr>
        <w:pStyle w:val="Prrafodelista"/>
        <w:keepLines/>
        <w:spacing w:beforeLines="120" w:before="288" w:afterLines="120" w:after="288" w:line="288" w:lineRule="auto"/>
        <w:ind w:left="360"/>
        <w:jc w:val="both"/>
        <w:rPr>
          <w:rFonts w:ascii="Lato" w:hAnsi="Lato"/>
          <w:color w:val="595959" w:themeColor="text1" w:themeTint="A6"/>
          <w:lang w:val="es-ES"/>
        </w:rPr>
      </w:pPr>
    </w:p>
    <w:p w:rsidR="00C90843" w:rsidRPr="001F4FF6" w:rsidRDefault="00C90843" w:rsidP="00387388">
      <w:pPr>
        <w:pStyle w:val="Prrafodelista"/>
        <w:keepLines/>
        <w:numPr>
          <w:ilvl w:val="1"/>
          <w:numId w:val="5"/>
        </w:numPr>
        <w:spacing w:beforeLines="120" w:before="288" w:afterLines="120" w:after="288" w:line="288" w:lineRule="auto"/>
        <w:jc w:val="both"/>
        <w:rPr>
          <w:rFonts w:ascii="Lato" w:hAnsi="Lato"/>
          <w:color w:val="595959" w:themeColor="text1" w:themeTint="A6"/>
          <w:lang w:val="es-ES"/>
        </w:rPr>
      </w:pPr>
      <w:r w:rsidRPr="001F4FF6">
        <w:rPr>
          <w:rFonts w:ascii="Lato" w:hAnsi="Lato"/>
          <w:color w:val="595959" w:themeColor="text1" w:themeTint="A6"/>
          <w:lang w:val="es-ES"/>
        </w:rPr>
        <w:t>ser una filial controlada por la EEP o un accionista que controle a la EEP, salvo que el conflicto de interés resultante se haya puesto en conocimiento del KfW y se haya resuelto a su propia satisfacción;</w:t>
      </w:r>
    </w:p>
    <w:p w:rsidR="00C90843" w:rsidRPr="001F4FF6" w:rsidRDefault="00C90843" w:rsidP="00C90843">
      <w:pPr>
        <w:pStyle w:val="Prrafodelista"/>
        <w:keepLines/>
        <w:spacing w:beforeLines="120" w:before="288" w:afterLines="120" w:after="288" w:line="288" w:lineRule="auto"/>
        <w:ind w:left="792"/>
        <w:jc w:val="both"/>
        <w:rPr>
          <w:rFonts w:ascii="Lato" w:hAnsi="Lato"/>
          <w:color w:val="595959" w:themeColor="text1" w:themeTint="A6"/>
          <w:lang w:val="es-ES"/>
        </w:rPr>
      </w:pPr>
    </w:p>
    <w:p w:rsidR="00C90843" w:rsidRPr="001F4FF6" w:rsidRDefault="00C90843" w:rsidP="00387388">
      <w:pPr>
        <w:pStyle w:val="Prrafodelista"/>
        <w:keepLines/>
        <w:numPr>
          <w:ilvl w:val="1"/>
          <w:numId w:val="5"/>
        </w:numPr>
        <w:spacing w:beforeLines="120" w:before="288" w:afterLines="120" w:after="288" w:line="288" w:lineRule="auto"/>
        <w:jc w:val="both"/>
        <w:rPr>
          <w:rFonts w:ascii="Lato" w:hAnsi="Lato"/>
          <w:color w:val="595959" w:themeColor="text1" w:themeTint="A6"/>
          <w:lang w:val="es-ES"/>
        </w:rPr>
      </w:pPr>
      <w:r w:rsidRPr="001F4FF6">
        <w:rPr>
          <w:rFonts w:ascii="Lato" w:hAnsi="Lato"/>
          <w:color w:val="595959" w:themeColor="text1" w:themeTint="A6"/>
          <w:lang w:val="es-ES"/>
        </w:rPr>
        <w:t>tener negocios o relaciones familiares con personal de la EEP implicado en el Proceso de Adquisición o en la supervisión del Contrato que resulte, salvo que el conflicto resultante haya sido puesto a conocimiento del KfW y se haya resuelto a su propia satisfacción;</w:t>
      </w:r>
    </w:p>
    <w:p w:rsidR="00C90843" w:rsidRPr="001F4FF6" w:rsidRDefault="00C90843" w:rsidP="00C90843">
      <w:pPr>
        <w:pStyle w:val="Prrafodelista"/>
        <w:rPr>
          <w:rFonts w:ascii="Lato" w:hAnsi="Lato"/>
          <w:color w:val="595959" w:themeColor="text1" w:themeTint="A6"/>
          <w:lang w:val="es-ES"/>
        </w:rPr>
      </w:pPr>
    </w:p>
    <w:p w:rsidR="00C90843" w:rsidRPr="001F4FF6" w:rsidRDefault="00C90843" w:rsidP="00387388">
      <w:pPr>
        <w:pStyle w:val="Prrafodelista"/>
        <w:keepLines/>
        <w:numPr>
          <w:ilvl w:val="1"/>
          <w:numId w:val="5"/>
        </w:numPr>
        <w:spacing w:beforeLines="120" w:before="288" w:afterLines="120" w:after="288" w:line="288" w:lineRule="auto"/>
        <w:jc w:val="both"/>
        <w:rPr>
          <w:rFonts w:ascii="Lato" w:hAnsi="Lato"/>
          <w:color w:val="595959" w:themeColor="text1" w:themeTint="A6"/>
          <w:lang w:val="es-ES"/>
        </w:rPr>
      </w:pPr>
      <w:r w:rsidRPr="001F4FF6">
        <w:rPr>
          <w:rFonts w:ascii="Lato" w:hAnsi="Lato"/>
          <w:color w:val="595959" w:themeColor="text1" w:themeTint="A6"/>
          <w:lang w:val="es-ES"/>
        </w:rPr>
        <w:t>controlar o estar controlado por otro Postulante u Oferente, estar bajo control común con otro Postulante u Oferente, recibir de o conceder directa o indirectamente subsidios a otro Postulante u Oferente, tener el mismo representante legal que otro Postulante u Oferente, mantener con otro Postulante u Oferente contactos directos o indirectos que nos permitan tener o dar acceso a información contenida en nuestras Solicitudes u Ofertas/Propuestas respectivas, influenciarlas, o influenciar las decisiones de la EEP;</w:t>
      </w:r>
    </w:p>
    <w:p w:rsidR="00C90843" w:rsidRPr="001F4FF6" w:rsidRDefault="00C90843" w:rsidP="00C90843">
      <w:pPr>
        <w:pStyle w:val="Prrafodelista"/>
        <w:rPr>
          <w:rFonts w:ascii="Lato" w:hAnsi="Lato"/>
          <w:color w:val="595959" w:themeColor="text1" w:themeTint="A6"/>
          <w:lang w:val="es-ES"/>
        </w:rPr>
      </w:pPr>
    </w:p>
    <w:p w:rsidR="00C90843" w:rsidRPr="001F4FF6" w:rsidRDefault="00C90843" w:rsidP="00387388">
      <w:pPr>
        <w:pStyle w:val="Prrafodelista"/>
        <w:keepLines/>
        <w:numPr>
          <w:ilvl w:val="1"/>
          <w:numId w:val="5"/>
        </w:numPr>
        <w:spacing w:beforeLines="120" w:before="288" w:afterLines="120" w:after="288" w:line="288" w:lineRule="auto"/>
        <w:jc w:val="both"/>
        <w:rPr>
          <w:rFonts w:ascii="Lato" w:hAnsi="Lato"/>
          <w:color w:val="595959" w:themeColor="text1" w:themeTint="A6"/>
          <w:lang w:val="es-ES"/>
        </w:rPr>
      </w:pPr>
      <w:r w:rsidRPr="001F4FF6">
        <w:rPr>
          <w:rFonts w:ascii="Lato" w:hAnsi="Lato"/>
          <w:color w:val="595959" w:themeColor="text1" w:themeTint="A6"/>
          <w:lang w:val="es-ES"/>
        </w:rPr>
        <w:t>estar prestando un servicio de consultoría que, por su naturaleza, pueda resultar incompatible con los servicios que se llevarán a cabo para la EEP;</w:t>
      </w:r>
    </w:p>
    <w:p w:rsidR="00C90843" w:rsidRPr="001F4FF6" w:rsidRDefault="00C90843" w:rsidP="00C90843">
      <w:pPr>
        <w:pStyle w:val="Prrafodelista"/>
        <w:rPr>
          <w:rFonts w:ascii="Lato" w:hAnsi="Lato"/>
          <w:color w:val="595959" w:themeColor="text1" w:themeTint="A6"/>
          <w:lang w:val="es-ES"/>
        </w:rPr>
      </w:pPr>
    </w:p>
    <w:p w:rsidR="00C90843" w:rsidRPr="001F4FF6" w:rsidRDefault="00C90843" w:rsidP="00387388">
      <w:pPr>
        <w:pStyle w:val="Prrafodelista"/>
        <w:keepLines/>
        <w:numPr>
          <w:ilvl w:val="1"/>
          <w:numId w:val="5"/>
        </w:numPr>
        <w:spacing w:beforeLines="120" w:before="288" w:afterLines="120" w:after="288" w:line="288" w:lineRule="auto"/>
        <w:jc w:val="both"/>
        <w:rPr>
          <w:rFonts w:ascii="Lato" w:hAnsi="Lato"/>
          <w:color w:val="595959" w:themeColor="text1" w:themeTint="A6"/>
          <w:lang w:val="es-ES"/>
        </w:rPr>
      </w:pPr>
      <w:r w:rsidRPr="001F4FF6">
        <w:rPr>
          <w:rFonts w:ascii="Lato" w:hAnsi="Lato"/>
          <w:color w:val="595959" w:themeColor="text1" w:themeTint="A6"/>
          <w:lang w:val="es-ES"/>
        </w:rPr>
        <w:lastRenderedPageBreak/>
        <w:t>en el caso de un Proceso de Adquisición de Obras o plantas industriales o Bienes:</w:t>
      </w:r>
    </w:p>
    <w:p w:rsidR="00C90843" w:rsidRPr="001F4FF6" w:rsidRDefault="00C90843" w:rsidP="00C90843">
      <w:pPr>
        <w:pStyle w:val="Prrafodelista"/>
        <w:rPr>
          <w:rFonts w:ascii="Lato" w:hAnsi="Lato"/>
          <w:color w:val="595959" w:themeColor="text1" w:themeTint="A6"/>
          <w:lang w:val="es-ES"/>
        </w:rPr>
      </w:pPr>
    </w:p>
    <w:p w:rsidR="00C90843" w:rsidRPr="001F4FF6" w:rsidRDefault="00C90843" w:rsidP="00387388">
      <w:pPr>
        <w:pStyle w:val="Prrafodelista"/>
        <w:keepLines/>
        <w:numPr>
          <w:ilvl w:val="2"/>
          <w:numId w:val="5"/>
        </w:numPr>
        <w:spacing w:beforeLines="120" w:before="288" w:afterLines="120" w:after="288" w:line="288" w:lineRule="auto"/>
        <w:jc w:val="both"/>
        <w:rPr>
          <w:rFonts w:ascii="Lato" w:hAnsi="Lato"/>
          <w:color w:val="595959" w:themeColor="text1" w:themeTint="A6"/>
          <w:lang w:val="es-ES"/>
        </w:rPr>
      </w:pPr>
      <w:r w:rsidRPr="001F4FF6">
        <w:rPr>
          <w:rFonts w:ascii="Lato" w:hAnsi="Lato"/>
          <w:color w:val="595959" w:themeColor="text1" w:themeTint="A6"/>
          <w:lang w:val="es-ES"/>
        </w:rPr>
        <w:t>haber preparado o haber estado asociados con una persona que haya preparado especificaciones, planos, cálculos o cualquier otra documentación destinada a su utilización en el Proceso de Adquisición del presente Contrato;</w:t>
      </w:r>
    </w:p>
    <w:p w:rsidR="00C90843" w:rsidRPr="001F4FF6" w:rsidRDefault="00C90843" w:rsidP="00387388">
      <w:pPr>
        <w:pStyle w:val="Prrafodelista"/>
        <w:keepLines/>
        <w:numPr>
          <w:ilvl w:val="2"/>
          <w:numId w:val="5"/>
        </w:numPr>
        <w:spacing w:beforeLines="120" w:before="288" w:afterLines="120" w:after="288" w:line="288" w:lineRule="auto"/>
        <w:jc w:val="both"/>
        <w:rPr>
          <w:rFonts w:ascii="Lato" w:hAnsi="Lato"/>
          <w:color w:val="595959" w:themeColor="text1" w:themeTint="A6"/>
          <w:lang w:val="es-ES"/>
        </w:rPr>
      </w:pPr>
      <w:r w:rsidRPr="001F4FF6">
        <w:rPr>
          <w:rFonts w:ascii="Lato" w:hAnsi="Lato"/>
          <w:color w:val="595959" w:themeColor="text1" w:themeTint="A6"/>
          <w:lang w:val="es-ES"/>
        </w:rPr>
        <w:t>haber sido nosotros mismos o una de nuestras empresas afiliadas contratados o propuestos para ser contratados para efectuar la supervisión o inspección de las Obras en el marco de este Contrato;</w:t>
      </w:r>
    </w:p>
    <w:p w:rsidR="00C90843" w:rsidRPr="001F4FF6" w:rsidRDefault="00C90843" w:rsidP="00C90843">
      <w:pPr>
        <w:pStyle w:val="Prrafodelista"/>
        <w:keepLines/>
        <w:spacing w:beforeLines="120" w:before="288" w:afterLines="120" w:after="288" w:line="288" w:lineRule="auto"/>
        <w:ind w:left="1080"/>
        <w:jc w:val="both"/>
        <w:rPr>
          <w:rFonts w:ascii="Lato" w:hAnsi="Lato"/>
          <w:color w:val="595959" w:themeColor="text1" w:themeTint="A6"/>
          <w:lang w:val="es-ES"/>
        </w:rPr>
      </w:pPr>
    </w:p>
    <w:p w:rsidR="00C90843" w:rsidRPr="001F4FF6" w:rsidRDefault="00C90843" w:rsidP="00387388">
      <w:pPr>
        <w:pStyle w:val="Prrafodelista"/>
        <w:keepLines/>
        <w:numPr>
          <w:ilvl w:val="0"/>
          <w:numId w:val="5"/>
        </w:numPr>
        <w:spacing w:beforeLines="120" w:before="288" w:afterLines="120" w:after="288" w:line="288" w:lineRule="auto"/>
        <w:jc w:val="both"/>
        <w:rPr>
          <w:rFonts w:ascii="Lato" w:hAnsi="Lato"/>
          <w:color w:val="595959" w:themeColor="text1" w:themeTint="A6"/>
          <w:lang w:val="es-ES"/>
        </w:rPr>
      </w:pPr>
      <w:r w:rsidRPr="001F4FF6">
        <w:rPr>
          <w:rFonts w:ascii="Lato" w:hAnsi="Lato"/>
          <w:color w:val="595959" w:themeColor="text1" w:themeTint="A6"/>
          <w:lang w:val="es-ES"/>
        </w:rPr>
        <w:t>Si somos una entidad de propiedad estatal, para competir en un Proceso de Adquisición, certificamos que somos legal y económicamente autónomos y que nos regimos por las leyes y normas del derecho mercantil.</w:t>
      </w:r>
    </w:p>
    <w:p w:rsidR="00C90843" w:rsidRPr="001F4FF6" w:rsidRDefault="00C90843" w:rsidP="00C90843">
      <w:pPr>
        <w:pStyle w:val="Prrafodelista"/>
        <w:keepLines/>
        <w:spacing w:beforeLines="120" w:before="288" w:afterLines="120" w:after="288" w:line="288" w:lineRule="auto"/>
        <w:ind w:left="360"/>
        <w:jc w:val="both"/>
        <w:rPr>
          <w:rFonts w:ascii="Lato" w:hAnsi="Lato"/>
          <w:color w:val="595959" w:themeColor="text1" w:themeTint="A6"/>
          <w:lang w:val="es-ES"/>
        </w:rPr>
      </w:pPr>
    </w:p>
    <w:p w:rsidR="00C90843" w:rsidRPr="001F4FF6" w:rsidRDefault="00C90843" w:rsidP="00387388">
      <w:pPr>
        <w:pStyle w:val="Prrafodelista"/>
        <w:keepLines/>
        <w:numPr>
          <w:ilvl w:val="0"/>
          <w:numId w:val="5"/>
        </w:numPr>
        <w:spacing w:beforeLines="120" w:before="288" w:afterLines="120" w:after="288" w:line="288" w:lineRule="auto"/>
        <w:jc w:val="both"/>
        <w:rPr>
          <w:rFonts w:ascii="Lato" w:hAnsi="Lato"/>
          <w:color w:val="595959" w:themeColor="text1" w:themeTint="A6"/>
          <w:lang w:val="es-ES"/>
        </w:rPr>
      </w:pPr>
      <w:r w:rsidRPr="001F4FF6">
        <w:rPr>
          <w:rFonts w:ascii="Lato" w:hAnsi="Lato"/>
          <w:color w:val="595959" w:themeColor="text1" w:themeTint="A6"/>
          <w:lang w:val="es-ES"/>
        </w:rPr>
        <w:t>Nos comprometemos a comunicar a la EEP, la cual informará al KfW, cualquier cambio de situación relacionado con los puntos 2 a 4 anteriores.</w:t>
      </w:r>
    </w:p>
    <w:p w:rsidR="00C90843" w:rsidRPr="001F4FF6" w:rsidRDefault="00C90843" w:rsidP="00C90843">
      <w:pPr>
        <w:pStyle w:val="Prrafodelista"/>
        <w:rPr>
          <w:rFonts w:ascii="Lato" w:hAnsi="Lato"/>
          <w:color w:val="595959" w:themeColor="text1" w:themeTint="A6"/>
          <w:lang w:val="es-ES"/>
        </w:rPr>
      </w:pPr>
    </w:p>
    <w:p w:rsidR="00C90843" w:rsidRPr="00782B30" w:rsidRDefault="00C90843" w:rsidP="00387388">
      <w:pPr>
        <w:pStyle w:val="Prrafodelista"/>
        <w:keepLines/>
        <w:numPr>
          <w:ilvl w:val="0"/>
          <w:numId w:val="5"/>
        </w:numPr>
        <w:spacing w:beforeLines="120" w:before="288" w:afterLines="120" w:after="288" w:line="288" w:lineRule="auto"/>
        <w:jc w:val="both"/>
        <w:rPr>
          <w:rFonts w:ascii="Lato" w:hAnsi="Lato"/>
          <w:color w:val="595959" w:themeColor="text1" w:themeTint="A6"/>
          <w:lang w:val="es-ES"/>
        </w:rPr>
      </w:pPr>
      <w:r w:rsidRPr="001F4FF6">
        <w:rPr>
          <w:rFonts w:ascii="Lato" w:hAnsi="Lato"/>
          <w:color w:val="595959" w:themeColor="text1" w:themeTint="A6"/>
          <w:lang w:val="es-ES"/>
        </w:rPr>
        <w:t>En el contexto del Proceso de Adquisición y ejecución del Contrato correspondiente:</w:t>
      </w:r>
    </w:p>
    <w:p w:rsidR="00C90843" w:rsidRPr="00782B30" w:rsidRDefault="00C90843" w:rsidP="00C90843">
      <w:pPr>
        <w:pStyle w:val="Prrafodelista"/>
        <w:keepLines/>
        <w:spacing w:beforeLines="120" w:before="288" w:afterLines="120" w:after="288" w:line="288" w:lineRule="auto"/>
        <w:ind w:left="360"/>
        <w:jc w:val="both"/>
        <w:rPr>
          <w:rFonts w:ascii="Lato" w:hAnsi="Lato"/>
          <w:color w:val="595959" w:themeColor="text1" w:themeTint="A6"/>
          <w:lang w:val="es-ES"/>
        </w:rPr>
      </w:pPr>
    </w:p>
    <w:p w:rsidR="00C90843" w:rsidRPr="001F4FF6" w:rsidRDefault="00C90843" w:rsidP="00387388">
      <w:pPr>
        <w:pStyle w:val="Prrafodelista"/>
        <w:keepLines/>
        <w:numPr>
          <w:ilvl w:val="1"/>
          <w:numId w:val="5"/>
        </w:numPr>
        <w:spacing w:beforeLines="120" w:before="288" w:afterLines="120" w:after="288" w:line="288" w:lineRule="auto"/>
        <w:jc w:val="both"/>
        <w:rPr>
          <w:rFonts w:ascii="Lato" w:hAnsi="Lato"/>
          <w:color w:val="595959" w:themeColor="text1" w:themeTint="A6"/>
          <w:lang w:val="es-ES"/>
        </w:rPr>
      </w:pPr>
      <w:r w:rsidRPr="001F4FF6">
        <w:rPr>
          <w:rFonts w:ascii="Lato" w:hAnsi="Lato"/>
          <w:color w:val="595959" w:themeColor="text1" w:themeTint="A6"/>
          <w:lang w:val="es-ES"/>
        </w:rPr>
        <w:t xml:space="preserve">ni nosotros ni ningún miembro de nuestro Consorcio ni ninguno de nuestros Subcontratistas en el marco del Contrato hemos incurrido en </w:t>
      </w:r>
      <w:r w:rsidRPr="00C619D7">
        <w:rPr>
          <w:rFonts w:ascii="Lato" w:hAnsi="Lato"/>
          <w:color w:val="595959" w:themeColor="text1" w:themeTint="A6"/>
          <w:lang w:val="es-ES"/>
        </w:rPr>
        <w:t>prácticas sancionables durante el Proceso de Adquisición y, en el caso de sernos adjudicado un Contrato, no incurriremos en prácticas sancionables</w:t>
      </w:r>
      <w:r w:rsidRPr="001F4FF6">
        <w:rPr>
          <w:rFonts w:ascii="Lato" w:hAnsi="Lato"/>
          <w:color w:val="595959" w:themeColor="text1" w:themeTint="A6"/>
          <w:lang w:val="es-ES"/>
        </w:rPr>
        <w:t xml:space="preserve"> durante la ejecución del Contrato; </w:t>
      </w:r>
    </w:p>
    <w:p w:rsidR="00C90843" w:rsidRPr="001F4FF6" w:rsidRDefault="00C90843" w:rsidP="00C90843">
      <w:pPr>
        <w:pStyle w:val="Prrafodelista"/>
        <w:keepLines/>
        <w:spacing w:beforeLines="120" w:before="288" w:afterLines="120" w:after="288" w:line="288" w:lineRule="auto"/>
        <w:ind w:left="792"/>
        <w:jc w:val="both"/>
        <w:rPr>
          <w:rFonts w:ascii="Lato" w:hAnsi="Lato"/>
          <w:color w:val="595959" w:themeColor="text1" w:themeTint="A6"/>
          <w:lang w:val="es-ES"/>
        </w:rPr>
      </w:pPr>
    </w:p>
    <w:p w:rsidR="00C90843" w:rsidRPr="001F4FF6" w:rsidRDefault="00C90843" w:rsidP="00387388">
      <w:pPr>
        <w:pStyle w:val="Prrafodelista"/>
        <w:keepLines/>
        <w:numPr>
          <w:ilvl w:val="1"/>
          <w:numId w:val="5"/>
        </w:numPr>
        <w:spacing w:beforeLines="120" w:before="288" w:afterLines="120" w:after="288" w:line="288" w:lineRule="auto"/>
        <w:jc w:val="both"/>
        <w:rPr>
          <w:rFonts w:ascii="Lato" w:hAnsi="Lato"/>
          <w:color w:val="595959" w:themeColor="text1" w:themeTint="A6"/>
          <w:lang w:val="es-ES"/>
        </w:rPr>
      </w:pPr>
      <w:r w:rsidRPr="001F4FF6">
        <w:rPr>
          <w:rFonts w:ascii="Lato" w:hAnsi="Lato"/>
          <w:color w:val="595959" w:themeColor="text1" w:themeTint="A6"/>
          <w:lang w:val="es-ES"/>
        </w:rPr>
        <w:t>ni nosotros ni ningún miembro de nuestro Consorcio ni ninguno de nuestros Subcontratistas en el marco del Contrato adquiriremos ni suministraremos equipos ni operaremos en ningún sector que se encuentren bajo embargo de las Naciones Unidas, de la Unión Europea o de Alemania; y</w:t>
      </w:r>
    </w:p>
    <w:p w:rsidR="00C90843" w:rsidRPr="001F4FF6" w:rsidRDefault="00C90843" w:rsidP="00C90843">
      <w:pPr>
        <w:pStyle w:val="Prrafodelista"/>
        <w:rPr>
          <w:rFonts w:ascii="Lato" w:hAnsi="Lato"/>
          <w:color w:val="595959" w:themeColor="text1" w:themeTint="A6"/>
          <w:lang w:val="es-ES"/>
        </w:rPr>
      </w:pPr>
    </w:p>
    <w:p w:rsidR="00C90843" w:rsidRPr="001F4FF6" w:rsidRDefault="00C90843" w:rsidP="00387388">
      <w:pPr>
        <w:pStyle w:val="Prrafodelista"/>
        <w:keepLines/>
        <w:numPr>
          <w:ilvl w:val="1"/>
          <w:numId w:val="5"/>
        </w:numPr>
        <w:spacing w:beforeLines="120" w:before="288" w:afterLines="120" w:after="288" w:line="288" w:lineRule="auto"/>
        <w:jc w:val="both"/>
        <w:rPr>
          <w:rFonts w:ascii="Lato" w:hAnsi="Lato"/>
          <w:color w:val="595959" w:themeColor="text1" w:themeTint="A6"/>
          <w:lang w:val="es-ES"/>
        </w:rPr>
      </w:pPr>
      <w:r w:rsidRPr="001F4FF6">
        <w:rPr>
          <w:rFonts w:ascii="Lato" w:hAnsi="Lato"/>
          <w:color w:val="595959" w:themeColor="text1" w:themeTint="A6"/>
          <w:lang w:val="es-ES"/>
        </w:rPr>
        <w:lastRenderedPageBreak/>
        <w:t>nos comprometemos a cumplir, y a hacer cumplir a nuestros Subcontratistas y principales proveedores en el marco del Contrato, las normas medioambientales y laborales internacionales, acordes con las leyes y normativas aplicables en el país en que se implemente el Contrato y con los convenios fundamentales de la Organización Internacional del Trabajo (OIT)</w:t>
      </w:r>
      <w:r w:rsidRPr="001F4FF6">
        <w:rPr>
          <w:rStyle w:val="Refdenotaalpie"/>
          <w:rFonts w:ascii="Lato" w:hAnsi="Lato"/>
          <w:color w:val="595959" w:themeColor="text1" w:themeTint="A6"/>
          <w:lang w:val="es-ES"/>
        </w:rPr>
        <w:footnoteReference w:id="5"/>
      </w:r>
      <w:r w:rsidRPr="001F4FF6">
        <w:rPr>
          <w:rFonts w:ascii="Lato" w:hAnsi="Lato"/>
          <w:color w:val="595959" w:themeColor="text1" w:themeTint="A6"/>
          <w:lang w:val="es-ES"/>
        </w:rPr>
        <w:t xml:space="preserve"> y los tratados medioambientales internacionales. Además, nos comprometemos a implementar cualquier medida de mitigación de riesgos medioambientales y sociales, cuando se indiquen en los planes de gestión medioambiental y social u otros documentos similares proporcionados por la EEP y, en cualquier caso, implementar medidas para prevenir la explotación sexual, el abuso y la violencia de género.</w:t>
      </w:r>
    </w:p>
    <w:p w:rsidR="00C90843" w:rsidRPr="001F4FF6" w:rsidRDefault="00C90843" w:rsidP="00C90843">
      <w:pPr>
        <w:pStyle w:val="Prrafodelista"/>
        <w:keepLines/>
        <w:spacing w:beforeLines="120" w:before="288" w:afterLines="120" w:after="288" w:line="288" w:lineRule="auto"/>
        <w:ind w:left="792"/>
        <w:jc w:val="both"/>
        <w:rPr>
          <w:rFonts w:ascii="Lato" w:hAnsi="Lato"/>
          <w:color w:val="595959" w:themeColor="text1" w:themeTint="A6"/>
          <w:lang w:val="es-ES"/>
        </w:rPr>
      </w:pPr>
    </w:p>
    <w:p w:rsidR="00C90843" w:rsidRDefault="00C90843" w:rsidP="00387388">
      <w:pPr>
        <w:pStyle w:val="Prrafodelista"/>
        <w:keepLines/>
        <w:numPr>
          <w:ilvl w:val="0"/>
          <w:numId w:val="5"/>
        </w:numPr>
        <w:spacing w:beforeLines="120" w:before="288" w:afterLines="120" w:after="288" w:line="288" w:lineRule="auto"/>
        <w:jc w:val="both"/>
        <w:rPr>
          <w:rFonts w:ascii="Lato" w:hAnsi="Lato"/>
          <w:color w:val="595959" w:themeColor="text1" w:themeTint="A6"/>
          <w:lang w:val="es-ES"/>
        </w:rPr>
      </w:pPr>
      <w:r w:rsidRPr="001F4FF6">
        <w:rPr>
          <w:rFonts w:ascii="Lato" w:hAnsi="Lato"/>
          <w:color w:val="595959" w:themeColor="text1" w:themeTint="A6"/>
          <w:lang w:val="es-ES"/>
        </w:rPr>
        <w:t>En caso de que nos sea adjudicado un Contrato, tanto nosotros como todos los miembros de nuestro Consorcio y Subcontratistas en el marco del Contrato, (i) si así se requiere, facilitaremos información relativa al Proceso de Adquisición y a la ejecución del Contrato y (ii) permitiremos a la EEP y al KfW o a un auditor nombrado por cualquiera de ellos, y en caso de financiación por la Unión Europea también a instituciones europeas competentes con arreglo a la legislación de la Unión Europea, inspeccionar las cuentas, los registros y los documentos correspondientes, realizar inspecciones sobre el terreno y garantizar el acceso a los emplazamientos y al proyecto respectivo.</w:t>
      </w:r>
    </w:p>
    <w:p w:rsidR="00C90843" w:rsidRPr="001F4FF6" w:rsidRDefault="00C90843" w:rsidP="00C90843">
      <w:pPr>
        <w:pStyle w:val="Prrafodelista"/>
        <w:keepLines/>
        <w:spacing w:beforeLines="120" w:before="288" w:afterLines="120" w:after="288" w:line="288" w:lineRule="auto"/>
        <w:ind w:left="360"/>
        <w:jc w:val="both"/>
        <w:rPr>
          <w:rFonts w:ascii="Lato" w:hAnsi="Lato"/>
          <w:color w:val="595959" w:themeColor="text1" w:themeTint="A6"/>
          <w:lang w:val="es-ES"/>
        </w:rPr>
      </w:pPr>
    </w:p>
    <w:p w:rsidR="00C90843" w:rsidRPr="001F4FF6" w:rsidRDefault="00C90843" w:rsidP="00387388">
      <w:pPr>
        <w:pStyle w:val="Prrafodelista"/>
        <w:keepLines/>
        <w:numPr>
          <w:ilvl w:val="0"/>
          <w:numId w:val="5"/>
        </w:numPr>
        <w:spacing w:beforeLines="120" w:before="288" w:afterLines="120" w:after="288" w:line="288" w:lineRule="auto"/>
        <w:jc w:val="both"/>
        <w:rPr>
          <w:rFonts w:ascii="Lato" w:hAnsi="Lato"/>
          <w:color w:val="595959" w:themeColor="text1" w:themeTint="A6"/>
          <w:lang w:val="es-ES"/>
        </w:rPr>
      </w:pPr>
      <w:r w:rsidRPr="001F4FF6">
        <w:rPr>
          <w:rFonts w:ascii="Lato" w:hAnsi="Lato"/>
          <w:color w:val="595959" w:themeColor="text1" w:themeTint="A6"/>
          <w:lang w:val="es-ES"/>
        </w:rPr>
        <w:t>En caso de que nos sea adjudicado un Contrato, tanto nosotros como todos los miembros de nuestro Consorcio y Subcontratistas en el marco del Contrato, nos comprometemos a conservar los registros y documentos anteriormente mencionados conforme a lo dispuesto por la legislación aplicable, pero en cualquier caso durante un mínimo de seis años desde la fecha de ejecución o rescisión del Contrato. Nuestras transacciones financieras e informes financieros estarán sujetos a procedimientos de auditoría conforme a la legislación aplicable. Además, aceptamos que nuestros datos (incluidos nuestros datos personales) generados en relación con la preparación e implementación del Proceso de Adquisición y la ejecución del Contrato sean almacenados y tratados por la EEP y el KfW conforme a la legislación aplicable.</w:t>
      </w:r>
    </w:p>
    <w:p w:rsidR="00C90843" w:rsidRPr="001F4FF6" w:rsidRDefault="00C90843" w:rsidP="00C90843">
      <w:pPr>
        <w:keepLines/>
        <w:spacing w:beforeLines="120" w:before="288" w:afterLines="120" w:after="288" w:line="288" w:lineRule="auto"/>
        <w:jc w:val="both"/>
        <w:rPr>
          <w:rFonts w:ascii="Lato" w:hAnsi="Lato"/>
          <w:color w:val="595959" w:themeColor="text1" w:themeTint="A6"/>
          <w:sz w:val="22"/>
          <w:szCs w:val="22"/>
          <w:lang w:val="es-ES"/>
        </w:rPr>
      </w:pPr>
    </w:p>
    <w:p w:rsidR="00C90843" w:rsidRPr="001F4FF6" w:rsidRDefault="00C90843" w:rsidP="00C90843">
      <w:pPr>
        <w:keepLines/>
        <w:spacing w:beforeLines="120" w:before="288" w:afterLines="120" w:after="288" w:line="288" w:lineRule="auto"/>
        <w:jc w:val="both"/>
        <w:rPr>
          <w:rFonts w:ascii="Lato" w:hAnsi="Lato"/>
          <w:color w:val="595959" w:themeColor="text1" w:themeTint="A6"/>
          <w:sz w:val="22"/>
          <w:szCs w:val="22"/>
          <w:lang w:val="es-ES"/>
        </w:rPr>
      </w:pPr>
      <w:r w:rsidRPr="001F4FF6">
        <w:rPr>
          <w:rFonts w:ascii="Lato" w:hAnsi="Lato"/>
          <w:color w:val="595959" w:themeColor="text1" w:themeTint="A6"/>
          <w:sz w:val="22"/>
          <w:szCs w:val="22"/>
          <w:lang w:val="es-ES"/>
        </w:rPr>
        <w:t>Nombre:</w:t>
      </w:r>
    </w:p>
    <w:p w:rsidR="00C90843" w:rsidRPr="001F4FF6" w:rsidRDefault="00C90843" w:rsidP="00C90843">
      <w:pPr>
        <w:keepLines/>
        <w:spacing w:beforeLines="120" w:before="288" w:afterLines="120" w:after="288" w:line="288" w:lineRule="auto"/>
        <w:jc w:val="both"/>
        <w:rPr>
          <w:rFonts w:ascii="Lato" w:hAnsi="Lato"/>
          <w:color w:val="595959" w:themeColor="text1" w:themeTint="A6"/>
          <w:sz w:val="22"/>
          <w:szCs w:val="22"/>
          <w:lang w:val="es-ES"/>
        </w:rPr>
      </w:pPr>
      <w:r w:rsidRPr="001F4FF6">
        <w:rPr>
          <w:rFonts w:ascii="Lato" w:hAnsi="Lato"/>
          <w:color w:val="595959" w:themeColor="text1" w:themeTint="A6"/>
          <w:sz w:val="22"/>
          <w:szCs w:val="22"/>
          <w:lang w:val="es-ES"/>
        </w:rPr>
        <w:t xml:space="preserve">En calidad de:   </w:t>
      </w:r>
      <w:r w:rsidRPr="001F4FF6">
        <w:rPr>
          <w:rFonts w:ascii="Lato" w:hAnsi="Lato"/>
          <w:color w:val="595959" w:themeColor="text1" w:themeTint="A6"/>
          <w:sz w:val="22"/>
          <w:szCs w:val="22"/>
          <w:lang w:val="es-ES"/>
        </w:rPr>
        <w:tab/>
      </w:r>
    </w:p>
    <w:p w:rsidR="00C90843" w:rsidRPr="001F4FF6" w:rsidRDefault="00C90843" w:rsidP="00C90843">
      <w:pPr>
        <w:keepLines/>
        <w:spacing w:beforeLines="120" w:before="288" w:afterLines="120" w:after="288" w:line="288" w:lineRule="auto"/>
        <w:jc w:val="both"/>
        <w:rPr>
          <w:rFonts w:ascii="Lato" w:hAnsi="Lato"/>
          <w:color w:val="595959" w:themeColor="text1" w:themeTint="A6"/>
          <w:sz w:val="22"/>
          <w:szCs w:val="22"/>
          <w:lang w:val="es-ES"/>
        </w:rPr>
      </w:pPr>
      <w:r w:rsidRPr="001F4FF6">
        <w:rPr>
          <w:rFonts w:ascii="Lato" w:hAnsi="Lato"/>
          <w:color w:val="595959" w:themeColor="text1" w:themeTint="A6"/>
          <w:sz w:val="22"/>
          <w:szCs w:val="22"/>
          <w:lang w:val="es-ES"/>
        </w:rPr>
        <w:t>Debidamente habilitado para firmar la Solicitud, Oferta o Propuesta en nombre de</w:t>
      </w:r>
      <w:r w:rsidRPr="001F4FF6">
        <w:rPr>
          <w:rStyle w:val="Refdenotaalpie"/>
          <w:rFonts w:ascii="Lato" w:hAnsi="Lato"/>
          <w:color w:val="595959" w:themeColor="text1" w:themeTint="A6"/>
          <w:sz w:val="22"/>
          <w:lang w:val="es-ES"/>
        </w:rPr>
        <w:footnoteReference w:id="6"/>
      </w:r>
      <w:r w:rsidRPr="001F4FF6">
        <w:rPr>
          <w:rFonts w:ascii="Lato" w:hAnsi="Lato"/>
          <w:color w:val="595959" w:themeColor="text1" w:themeTint="A6"/>
          <w:sz w:val="22"/>
          <w:szCs w:val="22"/>
          <w:lang w:val="es-ES"/>
        </w:rPr>
        <w:t xml:space="preserve">:  </w:t>
      </w:r>
      <w:r w:rsidRPr="001F4FF6">
        <w:rPr>
          <w:rFonts w:ascii="Lato" w:hAnsi="Lato"/>
          <w:color w:val="595959" w:themeColor="text1" w:themeTint="A6"/>
          <w:sz w:val="22"/>
          <w:szCs w:val="22"/>
          <w:lang w:val="es-ES"/>
        </w:rPr>
        <w:tab/>
      </w:r>
    </w:p>
    <w:p w:rsidR="00C90843" w:rsidRPr="001F4FF6" w:rsidRDefault="00C90843" w:rsidP="00C90843">
      <w:pPr>
        <w:keepLines/>
        <w:spacing w:beforeLines="120" w:before="288" w:afterLines="120" w:after="288" w:line="288" w:lineRule="auto"/>
        <w:jc w:val="both"/>
        <w:rPr>
          <w:rFonts w:ascii="Lato" w:hAnsi="Lato"/>
          <w:color w:val="595959" w:themeColor="text1" w:themeTint="A6"/>
          <w:sz w:val="22"/>
          <w:szCs w:val="22"/>
          <w:lang w:val="es-ES"/>
        </w:rPr>
      </w:pPr>
      <w:r w:rsidRPr="001F4FF6">
        <w:rPr>
          <w:rFonts w:ascii="Lato" w:hAnsi="Lato"/>
          <w:color w:val="595959" w:themeColor="text1" w:themeTint="A6"/>
          <w:sz w:val="22"/>
          <w:szCs w:val="22"/>
          <w:lang w:val="es-ES"/>
        </w:rPr>
        <w:t>Firma:</w:t>
      </w:r>
      <w:r w:rsidRPr="001F4FF6">
        <w:rPr>
          <w:rFonts w:ascii="Lato" w:hAnsi="Lato"/>
          <w:color w:val="595959" w:themeColor="text1" w:themeTint="A6"/>
          <w:sz w:val="22"/>
          <w:szCs w:val="22"/>
          <w:lang w:val="es-ES"/>
        </w:rPr>
        <w:tab/>
      </w:r>
    </w:p>
    <w:p w:rsidR="00C90843" w:rsidRPr="003B581B" w:rsidRDefault="00C90843" w:rsidP="00C90843">
      <w:pPr>
        <w:keepLines/>
        <w:spacing w:beforeLines="120" w:before="288" w:afterLines="120" w:after="288" w:line="288" w:lineRule="auto"/>
        <w:jc w:val="both"/>
        <w:rPr>
          <w:rFonts w:ascii="Lato" w:hAnsi="Lato"/>
          <w:color w:val="595959" w:themeColor="text1" w:themeTint="A6"/>
          <w:sz w:val="22"/>
          <w:szCs w:val="22"/>
          <w:lang w:val="es-ES"/>
        </w:rPr>
      </w:pPr>
      <w:r w:rsidRPr="001F4FF6">
        <w:rPr>
          <w:rFonts w:ascii="Lato" w:hAnsi="Lato"/>
          <w:color w:val="595959" w:themeColor="text1" w:themeTint="A6"/>
          <w:sz w:val="22"/>
          <w:szCs w:val="22"/>
          <w:lang w:val="es-ES"/>
        </w:rPr>
        <w:t>En la fecha:</w:t>
      </w:r>
    </w:p>
    <w:p w:rsidR="00C90843" w:rsidRPr="00B51843" w:rsidRDefault="00C90843" w:rsidP="00C90843">
      <w:pPr>
        <w:pStyle w:val="Ttulo1"/>
        <w:rPr>
          <w:rFonts w:ascii="Lato" w:hAnsi="Lato"/>
          <w:color w:val="595959" w:themeColor="text1" w:themeTint="A6"/>
          <w:sz w:val="22"/>
          <w:szCs w:val="22"/>
          <w:lang w:val="es-ES"/>
        </w:rPr>
      </w:pPr>
      <w:bookmarkStart w:id="21" w:name="_Toc61884154"/>
      <w:bookmarkStart w:id="22" w:name="_Toc95218412"/>
      <w:bookmarkStart w:id="23" w:name="_Toc159420258"/>
      <w:r w:rsidRPr="008E5472">
        <w:rPr>
          <w:rFonts w:ascii="Lato" w:hAnsi="Lato"/>
          <w:color w:val="595959" w:themeColor="text1" w:themeTint="A6"/>
          <w:sz w:val="22"/>
          <w:szCs w:val="22"/>
          <w:lang w:val="es-ES"/>
        </w:rPr>
        <w:t>A1.5. Fondo Monte Mojino</w:t>
      </w:r>
      <w:bookmarkEnd w:id="21"/>
      <w:bookmarkEnd w:id="22"/>
      <w:bookmarkEnd w:id="23"/>
    </w:p>
    <w:p w:rsidR="00C90843" w:rsidRPr="008E5472" w:rsidRDefault="00C90843" w:rsidP="00C90843">
      <w:pPr>
        <w:spacing w:before="100" w:beforeAutospacing="1" w:after="240"/>
        <w:rPr>
          <w:rFonts w:ascii="Lato" w:eastAsia="Times New Roman" w:hAnsi="Lato" w:cs="Times New Roman"/>
          <w:color w:val="595959" w:themeColor="text1" w:themeTint="A6"/>
          <w:sz w:val="22"/>
          <w:szCs w:val="22"/>
          <w:lang w:eastAsia="es-MX"/>
        </w:rPr>
      </w:pPr>
      <w:r w:rsidRPr="008E5472">
        <w:rPr>
          <w:rFonts w:ascii="Lato" w:eastAsia="Times New Roman" w:hAnsi="Lato" w:cs="Times New Roman"/>
          <w:color w:val="595959" w:themeColor="text1" w:themeTint="A6"/>
          <w:sz w:val="22"/>
          <w:szCs w:val="22"/>
          <w:lang w:eastAsia="es-MX"/>
        </w:rPr>
        <w:t>El fondo patrimonial para la región conocida como Monte Mojino fue establecido en 2010 por la Semarnat, por conducto de la Conanp, el Fondo de Infraestructura Hidráulica de Sinaloa (FIHSIN) y FMCN. Los intereses del patrimonio otorgado por FIHSIN están destinados a sostener mecanismos locales para el pago de servicios ambientales a través de fondos concurrentes de la Conafor. De 2023 a 2027 este proyecto apoyará a la comunidad de Tepuxta, Concordia, Sinaloa, en colaboración con la organización Conselva, Costas y Comunidades.</w:t>
      </w:r>
    </w:p>
    <w:p w:rsidR="00C90843" w:rsidRDefault="00C90843" w:rsidP="00C90843">
      <w:pPr>
        <w:spacing w:before="100" w:beforeAutospacing="1" w:after="240"/>
        <w:rPr>
          <w:rFonts w:ascii="Lato" w:eastAsia="Times New Roman" w:hAnsi="Lato" w:cs="Times New Roman"/>
          <w:color w:val="595959" w:themeColor="text1" w:themeTint="A6"/>
          <w:sz w:val="22"/>
          <w:szCs w:val="22"/>
          <w:lang w:eastAsia="es-MX"/>
        </w:rPr>
      </w:pPr>
      <w:r w:rsidRPr="008E5472">
        <w:rPr>
          <w:rFonts w:ascii="Lato" w:eastAsia="Times New Roman" w:hAnsi="Lato" w:cs="Times New Roman"/>
          <w:color w:val="595959" w:themeColor="text1" w:themeTint="A6"/>
          <w:sz w:val="22"/>
          <w:szCs w:val="22"/>
          <w:lang w:eastAsia="es-MX"/>
        </w:rPr>
        <w:t xml:space="preserve">El objetivo de Fondo Monte Mojino es conservar y evaluar los Servicios Ambientales Hidrológicos </w:t>
      </w:r>
      <w:r>
        <w:rPr>
          <w:rFonts w:ascii="Lato" w:eastAsia="Times New Roman" w:hAnsi="Lato" w:cs="Times New Roman"/>
          <w:color w:val="595959" w:themeColor="text1" w:themeTint="A6"/>
          <w:sz w:val="22"/>
          <w:szCs w:val="22"/>
          <w:lang w:eastAsia="es-MX"/>
        </w:rPr>
        <w:t>que generan la infraestructura verde y las Soluciones basadas en la Naturaleza (SbN) en la comunidad de Tepuxta, Concordia, Sinaloa, mediante el mecanismo de Pago por Servicios Ambientales (PSA)</w:t>
      </w:r>
      <w:r w:rsidRPr="008E5472">
        <w:rPr>
          <w:rFonts w:ascii="Lato" w:eastAsia="Times New Roman" w:hAnsi="Lato" w:cs="Times New Roman"/>
          <w:color w:val="595959" w:themeColor="text1" w:themeTint="A6"/>
          <w:sz w:val="22"/>
          <w:szCs w:val="22"/>
          <w:lang w:eastAsia="es-MX"/>
        </w:rPr>
        <w:t>.</w:t>
      </w:r>
    </w:p>
    <w:p w:rsidR="00C90843" w:rsidRPr="008E5472" w:rsidRDefault="00C90843" w:rsidP="00C90843">
      <w:pPr>
        <w:spacing w:before="100" w:beforeAutospacing="1" w:after="240"/>
        <w:rPr>
          <w:rFonts w:ascii="Lato" w:eastAsia="Times New Roman" w:hAnsi="Lato" w:cs="Times New Roman"/>
          <w:color w:val="595959" w:themeColor="text1" w:themeTint="A6"/>
          <w:sz w:val="22"/>
          <w:szCs w:val="22"/>
          <w:lang w:eastAsia="es-MX"/>
        </w:rPr>
      </w:pPr>
    </w:p>
    <w:p w:rsidR="00C90843" w:rsidRDefault="00C90843" w:rsidP="00C90843">
      <w:pPr>
        <w:spacing w:before="100" w:beforeAutospacing="1" w:after="240"/>
        <w:rPr>
          <w:rFonts w:ascii="Lato" w:eastAsia="Times New Roman" w:hAnsi="Lato" w:cs="Times New Roman"/>
          <w:color w:val="595959" w:themeColor="text1" w:themeTint="A6"/>
          <w:sz w:val="22"/>
          <w:szCs w:val="22"/>
          <w:lang w:eastAsia="es-MX"/>
        </w:rPr>
      </w:pPr>
    </w:p>
    <w:p w:rsidR="00C90843" w:rsidRPr="008E5472" w:rsidRDefault="00C90843" w:rsidP="00C90843">
      <w:pPr>
        <w:spacing w:before="100" w:beforeAutospacing="1" w:after="240"/>
        <w:rPr>
          <w:rFonts w:ascii="Lato" w:eastAsia="Times New Roman" w:hAnsi="Lato" w:cs="Times New Roman"/>
          <w:color w:val="595959" w:themeColor="text1" w:themeTint="A6"/>
          <w:sz w:val="22"/>
          <w:szCs w:val="22"/>
          <w:lang w:eastAsia="es-MX"/>
        </w:rPr>
      </w:pPr>
      <w:r w:rsidRPr="008E5472">
        <w:rPr>
          <w:rFonts w:ascii="Lato" w:eastAsia="Times New Roman" w:hAnsi="Lato" w:cs="Times New Roman"/>
          <w:color w:val="595959" w:themeColor="text1" w:themeTint="A6"/>
          <w:sz w:val="22"/>
          <w:szCs w:val="22"/>
          <w:lang w:eastAsia="es-MX"/>
        </w:rPr>
        <w:t>Las actividades que se llevan a cabo con este fondo son:</w:t>
      </w:r>
    </w:p>
    <w:p w:rsidR="00C90843" w:rsidRPr="008E5472" w:rsidRDefault="00C90843" w:rsidP="00387388">
      <w:pPr>
        <w:numPr>
          <w:ilvl w:val="0"/>
          <w:numId w:val="8"/>
        </w:numPr>
        <w:spacing w:before="100" w:beforeAutospacing="1" w:after="100" w:afterAutospacing="1"/>
        <w:rPr>
          <w:rFonts w:ascii="Lato" w:eastAsia="Times New Roman" w:hAnsi="Lato" w:cs="Times New Roman"/>
          <w:color w:val="595959" w:themeColor="text1" w:themeTint="A6"/>
          <w:sz w:val="22"/>
          <w:szCs w:val="22"/>
          <w:lang w:eastAsia="es-MX"/>
        </w:rPr>
      </w:pPr>
      <w:r w:rsidRPr="008E5472">
        <w:rPr>
          <w:rFonts w:ascii="Lato" w:eastAsia="Times New Roman" w:hAnsi="Lato" w:cs="Times New Roman"/>
          <w:color w:val="595959" w:themeColor="text1" w:themeTint="A6"/>
          <w:sz w:val="22"/>
          <w:szCs w:val="22"/>
          <w:lang w:eastAsia="es-MX"/>
        </w:rPr>
        <w:t>Operar un mecanismo de compensación a los habitantes locales por recuperar y conservar los servicios ambientales que brindan los ecosistemas en una superficie de 2,223.85 ha.</w:t>
      </w:r>
    </w:p>
    <w:p w:rsidR="00C90843" w:rsidRPr="008E5472" w:rsidRDefault="00C90843" w:rsidP="00387388">
      <w:pPr>
        <w:numPr>
          <w:ilvl w:val="0"/>
          <w:numId w:val="8"/>
        </w:numPr>
        <w:spacing w:before="100" w:beforeAutospacing="1" w:after="100" w:afterAutospacing="1"/>
        <w:rPr>
          <w:rFonts w:ascii="Lato" w:eastAsia="Times New Roman" w:hAnsi="Lato" w:cs="Times New Roman"/>
          <w:color w:val="595959" w:themeColor="text1" w:themeTint="A6"/>
          <w:sz w:val="22"/>
          <w:szCs w:val="22"/>
          <w:lang w:eastAsia="es-MX"/>
        </w:rPr>
      </w:pPr>
      <w:r w:rsidRPr="008E5472">
        <w:rPr>
          <w:rFonts w:ascii="Lato" w:eastAsia="Times New Roman" w:hAnsi="Lato" w:cs="Times New Roman"/>
          <w:color w:val="595959" w:themeColor="text1" w:themeTint="A6"/>
          <w:sz w:val="22"/>
          <w:szCs w:val="22"/>
          <w:lang w:eastAsia="es-MX"/>
        </w:rPr>
        <w:t>Implementar soluciones basadas en la naturaleza en un predio piloto</w:t>
      </w:r>
    </w:p>
    <w:p w:rsidR="00C90843" w:rsidRPr="008E5472" w:rsidRDefault="00C90843" w:rsidP="00387388">
      <w:pPr>
        <w:numPr>
          <w:ilvl w:val="0"/>
          <w:numId w:val="8"/>
        </w:numPr>
        <w:spacing w:before="100" w:beforeAutospacing="1" w:after="100" w:afterAutospacing="1"/>
        <w:rPr>
          <w:rFonts w:ascii="Lato" w:eastAsia="Times New Roman" w:hAnsi="Lato" w:cs="Times New Roman"/>
          <w:color w:val="595959" w:themeColor="text1" w:themeTint="A6"/>
          <w:sz w:val="22"/>
          <w:szCs w:val="22"/>
          <w:lang w:eastAsia="es-MX"/>
        </w:rPr>
      </w:pPr>
      <w:r w:rsidRPr="008E5472">
        <w:rPr>
          <w:rFonts w:ascii="Lato" w:eastAsia="Times New Roman" w:hAnsi="Lato" w:cs="Times New Roman"/>
          <w:color w:val="595959" w:themeColor="text1" w:themeTint="A6"/>
          <w:sz w:val="22"/>
          <w:szCs w:val="22"/>
          <w:lang w:eastAsia="es-MX"/>
        </w:rPr>
        <w:lastRenderedPageBreak/>
        <w:t>Monitorear la respuesta hidrológica de la cuenca estimando el flujo superficial y el nivel de recarga del acuífero</w:t>
      </w:r>
    </w:p>
    <w:p w:rsidR="00C90843" w:rsidRPr="00B51843" w:rsidRDefault="00C90843" w:rsidP="00387388">
      <w:pPr>
        <w:numPr>
          <w:ilvl w:val="0"/>
          <w:numId w:val="8"/>
        </w:numPr>
        <w:spacing w:before="100" w:beforeAutospacing="1" w:after="100" w:afterAutospacing="1"/>
        <w:rPr>
          <w:rFonts w:ascii="Lato" w:eastAsia="Times New Roman" w:hAnsi="Lato" w:cs="Times New Roman"/>
          <w:color w:val="595959" w:themeColor="text1" w:themeTint="A6"/>
          <w:sz w:val="22"/>
          <w:szCs w:val="22"/>
          <w:lang w:eastAsia="es-MX"/>
        </w:rPr>
      </w:pPr>
      <w:r w:rsidRPr="008E5472">
        <w:rPr>
          <w:rFonts w:ascii="Lato" w:eastAsia="Times New Roman" w:hAnsi="Lato" w:cs="Times New Roman"/>
          <w:color w:val="595959" w:themeColor="text1" w:themeTint="A6"/>
          <w:sz w:val="22"/>
          <w:szCs w:val="22"/>
          <w:lang w:eastAsia="es-MX"/>
        </w:rPr>
        <w:t>Evaluar la calidad del suelo y la vegetación</w:t>
      </w:r>
    </w:p>
    <w:p w:rsidR="00C90843" w:rsidRPr="008E5472" w:rsidRDefault="00C90843" w:rsidP="00C90843">
      <w:pPr>
        <w:spacing w:before="100" w:beforeAutospacing="1" w:after="240"/>
        <w:rPr>
          <w:rFonts w:ascii="Lato" w:eastAsia="Times New Roman" w:hAnsi="Lato" w:cs="Times New Roman"/>
          <w:color w:val="595959" w:themeColor="text1" w:themeTint="A6"/>
          <w:sz w:val="22"/>
          <w:szCs w:val="22"/>
          <w:lang w:eastAsia="es-MX"/>
        </w:rPr>
      </w:pPr>
      <w:r w:rsidRPr="008E5472">
        <w:rPr>
          <w:rFonts w:ascii="Lato" w:eastAsia="Times New Roman" w:hAnsi="Lato" w:cs="Times New Roman"/>
          <w:color w:val="595959" w:themeColor="text1" w:themeTint="A6"/>
          <w:sz w:val="22"/>
          <w:szCs w:val="22"/>
          <w:lang w:eastAsia="es-MX"/>
        </w:rPr>
        <w:t>FMCN realiza el monitoreo del proyecto a través de reportes técnicos y financieros simplificados. Los reportes financieros incluyen la relación de gastos y el proceso de selección de consultores y/o adquisiciones.</w:t>
      </w:r>
    </w:p>
    <w:p w:rsidR="00C90843" w:rsidRPr="0002503C"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p>
    <w:p w:rsidR="00C90843" w:rsidRDefault="00C90843" w:rsidP="00C90843">
      <w:pPr>
        <w:pStyle w:val="Ttulo1"/>
        <w:spacing w:beforeLines="24" w:before="57" w:afterLines="24" w:after="57" w:line="288" w:lineRule="auto"/>
        <w:jc w:val="both"/>
        <w:rPr>
          <w:rFonts w:ascii="Lato" w:hAnsi="Lato"/>
          <w:color w:val="595959" w:themeColor="text1" w:themeTint="A6"/>
          <w:sz w:val="22"/>
          <w:szCs w:val="22"/>
          <w:lang w:val="es-ES"/>
        </w:rPr>
      </w:pPr>
      <w:bookmarkStart w:id="24" w:name="_Toc61886556"/>
      <w:bookmarkStart w:id="25" w:name="_Toc95218413"/>
      <w:bookmarkStart w:id="26" w:name="_Toc159420259"/>
      <w:r>
        <w:rPr>
          <w:rFonts w:ascii="Lato" w:hAnsi="Lato"/>
          <w:color w:val="595959" w:themeColor="text1" w:themeTint="A6"/>
          <w:sz w:val="22"/>
          <w:szCs w:val="22"/>
          <w:lang w:val="es-ES"/>
        </w:rPr>
        <w:t xml:space="preserve">A1.6. </w:t>
      </w:r>
      <w:r w:rsidRPr="00EB1FD4">
        <w:rPr>
          <w:rFonts w:ascii="Lato" w:hAnsi="Lato"/>
          <w:color w:val="595959" w:themeColor="text1" w:themeTint="A6"/>
          <w:sz w:val="22"/>
          <w:szCs w:val="22"/>
          <w:lang w:val="es-ES"/>
        </w:rPr>
        <w:t>Fondo para el Golfo de California</w:t>
      </w:r>
      <w:bookmarkEnd w:id="24"/>
      <w:bookmarkEnd w:id="25"/>
      <w:bookmarkEnd w:id="26"/>
    </w:p>
    <w:p w:rsidR="00C90843" w:rsidRPr="00271DE0" w:rsidRDefault="00C90843" w:rsidP="00C90843">
      <w:pPr>
        <w:rPr>
          <w:lang w:val="es-ES"/>
        </w:rPr>
      </w:pPr>
    </w:p>
    <w:p w:rsidR="00C90843" w:rsidRPr="00BE1F11"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sidRPr="00BE1F11">
        <w:rPr>
          <w:rFonts w:ascii="Lato" w:hAnsi="Lato"/>
          <w:color w:val="595959" w:themeColor="text1" w:themeTint="A6"/>
          <w:sz w:val="22"/>
          <w:szCs w:val="22"/>
          <w:lang w:val="es-ES"/>
        </w:rPr>
        <w:t xml:space="preserve">El </w:t>
      </w:r>
      <w:r>
        <w:rPr>
          <w:rFonts w:ascii="Lato" w:hAnsi="Lato"/>
          <w:color w:val="595959" w:themeColor="text1" w:themeTint="A6"/>
          <w:sz w:val="22"/>
          <w:szCs w:val="22"/>
          <w:lang w:val="es-ES"/>
        </w:rPr>
        <w:t>Fondo para el Golfo de California (FGC)</w:t>
      </w:r>
      <w:r w:rsidRPr="00BE1F11">
        <w:rPr>
          <w:rFonts w:ascii="Lato" w:hAnsi="Lato"/>
          <w:color w:val="595959" w:themeColor="text1" w:themeTint="A6"/>
          <w:sz w:val="22"/>
          <w:szCs w:val="22"/>
          <w:lang w:val="es-ES"/>
        </w:rPr>
        <w:t xml:space="preserve"> es un mecanismo de financiamiento a largo plazo que cuenta con recursos patrimoniales y extinguibles. </w:t>
      </w:r>
    </w:p>
    <w:p w:rsidR="00C90843" w:rsidRPr="00BE1F11"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sidRPr="00BE1F11">
        <w:rPr>
          <w:rFonts w:ascii="Lato" w:hAnsi="Lato"/>
          <w:color w:val="595959" w:themeColor="text1" w:themeTint="A6"/>
          <w:sz w:val="22"/>
          <w:szCs w:val="22"/>
          <w:lang w:val="es-ES"/>
        </w:rPr>
        <w:t xml:space="preserve">En 2009, </w:t>
      </w:r>
      <w:r w:rsidRPr="00BE1F11">
        <w:rPr>
          <w:rFonts w:ascii="Lato" w:hAnsi="Lato"/>
          <w:i/>
          <w:iCs/>
          <w:color w:val="595959" w:themeColor="text1" w:themeTint="A6"/>
          <w:sz w:val="22"/>
          <w:szCs w:val="22"/>
          <w:lang w:val="es-ES"/>
        </w:rPr>
        <w:t>The David and Lucile Packard Foundation, Global Conservation Fund</w:t>
      </w:r>
      <w:r w:rsidRPr="00BE1F11">
        <w:rPr>
          <w:rFonts w:ascii="Lato" w:hAnsi="Lato"/>
          <w:color w:val="595959" w:themeColor="text1" w:themeTint="A6"/>
          <w:sz w:val="22"/>
          <w:szCs w:val="22"/>
          <w:lang w:val="es-ES"/>
        </w:rPr>
        <w:t xml:space="preserve"> e </w:t>
      </w:r>
      <w:r w:rsidRPr="00BE1F11">
        <w:rPr>
          <w:rFonts w:ascii="Lato" w:hAnsi="Lato"/>
          <w:i/>
          <w:iCs/>
          <w:color w:val="595959" w:themeColor="text1" w:themeTint="A6"/>
          <w:sz w:val="22"/>
          <w:szCs w:val="22"/>
          <w:lang w:val="es-ES"/>
        </w:rPr>
        <w:t>International Community Foundation</w:t>
      </w:r>
      <w:r w:rsidRPr="00BE1F11">
        <w:rPr>
          <w:rFonts w:ascii="Lato" w:hAnsi="Lato"/>
          <w:color w:val="595959" w:themeColor="text1" w:themeTint="A6"/>
          <w:sz w:val="22"/>
          <w:szCs w:val="22"/>
          <w:lang w:val="es-ES"/>
        </w:rPr>
        <w:t xml:space="preserve"> crearon un fondo patrimonial cuyos intereses apoyan esfuerzos para el manejo y la conservación de los ecosistemas y recursos naturales en Áreas Marinas Protegidas </w:t>
      </w:r>
      <w:r>
        <w:rPr>
          <w:rFonts w:ascii="Lato" w:hAnsi="Lato"/>
          <w:color w:val="595959" w:themeColor="text1" w:themeTint="A6"/>
          <w:sz w:val="22"/>
          <w:szCs w:val="22"/>
          <w:lang w:val="es-ES"/>
        </w:rPr>
        <w:t>(</w:t>
      </w:r>
      <w:r w:rsidRPr="00BE1F11">
        <w:rPr>
          <w:rFonts w:ascii="Lato" w:hAnsi="Lato"/>
          <w:color w:val="595959" w:themeColor="text1" w:themeTint="A6"/>
          <w:sz w:val="22"/>
          <w:szCs w:val="22"/>
          <w:lang w:val="es-ES"/>
        </w:rPr>
        <w:t>AMP</w:t>
      </w:r>
      <w:r>
        <w:rPr>
          <w:rFonts w:ascii="Lato" w:hAnsi="Lato"/>
          <w:color w:val="595959" w:themeColor="text1" w:themeTint="A6"/>
          <w:sz w:val="22"/>
          <w:szCs w:val="22"/>
          <w:lang w:val="es-ES"/>
        </w:rPr>
        <w:t>)</w:t>
      </w:r>
      <w:r w:rsidRPr="00BE1F11">
        <w:rPr>
          <w:rFonts w:ascii="Lato" w:hAnsi="Lato"/>
          <w:color w:val="595959" w:themeColor="text1" w:themeTint="A6"/>
          <w:sz w:val="22"/>
          <w:szCs w:val="22"/>
          <w:lang w:val="es-ES"/>
        </w:rPr>
        <w:t xml:space="preserve"> prioritarias del Golfo de California y del Pacifico Norte. El FGC apoya esfuerzos para monitorear la efectividad de las AMP a nivel regional y aporta recursos económicos para apoyar la operación básica de las siguientes AMP: 1) RB Bahía de los Ángeles, Canales de Ballenas y Salsipuedes; 2) PN Islas Marietas, y 3) PN Isla Isabel.  </w:t>
      </w:r>
    </w:p>
    <w:p w:rsidR="00C90843"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sidRPr="00BE1F11">
        <w:rPr>
          <w:rFonts w:ascii="Lato" w:hAnsi="Lato"/>
          <w:color w:val="595959" w:themeColor="text1" w:themeTint="A6"/>
          <w:sz w:val="22"/>
          <w:szCs w:val="22"/>
          <w:lang w:val="es-ES"/>
        </w:rPr>
        <w:t xml:space="preserve">Además, al ser los pescadores ribereños los principales usuarios de las AMP y sus zonas de influencia, el FGC apoya también sub-proyectos que ayudan a impulsar el manejo pesquero sustentable en apego a los instrumentos de manejo que señalan la Ley General de Pesca y Acuacultura Sustentable, y a los Programas de Manejo de cada AMP. </w:t>
      </w:r>
    </w:p>
    <w:p w:rsidR="00C90843"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p>
    <w:p w:rsidR="00C90843"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Pr>
          <w:rFonts w:ascii="Lato" w:hAnsi="Lato"/>
          <w:color w:val="595959" w:themeColor="text1" w:themeTint="A6"/>
          <w:sz w:val="22"/>
          <w:szCs w:val="22"/>
          <w:lang w:val="es-ES"/>
        </w:rPr>
        <w:lastRenderedPageBreak/>
        <w:t>P</w:t>
      </w:r>
      <w:r w:rsidRPr="00BE1F11">
        <w:rPr>
          <w:rFonts w:ascii="Lato" w:hAnsi="Lato"/>
          <w:color w:val="595959" w:themeColor="text1" w:themeTint="A6"/>
          <w:sz w:val="22"/>
          <w:szCs w:val="22"/>
          <w:lang w:val="es-ES"/>
        </w:rPr>
        <w:t xml:space="preserve">or otro lado, los recursos extinguibles del FGC provienen principalmente de un mecanismo de financiamiento ligado al turismo de naturaleza. Gracias al liderazgo de la empresa de cruceros </w:t>
      </w:r>
      <w:r w:rsidRPr="00BE1F11">
        <w:rPr>
          <w:rFonts w:ascii="Lato" w:hAnsi="Lato"/>
          <w:i/>
          <w:iCs/>
          <w:color w:val="595959" w:themeColor="text1" w:themeTint="A6"/>
          <w:sz w:val="22"/>
          <w:szCs w:val="22"/>
          <w:lang w:val="es-ES"/>
        </w:rPr>
        <w:t>Lindblad Expeditions</w:t>
      </w:r>
      <w:r w:rsidRPr="00BE1F11">
        <w:rPr>
          <w:rFonts w:ascii="Lato" w:hAnsi="Lato"/>
          <w:color w:val="595959" w:themeColor="text1" w:themeTint="A6"/>
          <w:sz w:val="22"/>
          <w:szCs w:val="22"/>
          <w:lang w:val="es-ES"/>
        </w:rPr>
        <w:t xml:space="preserve"> y su alianza con </w:t>
      </w:r>
      <w:r w:rsidRPr="00BE1F11">
        <w:rPr>
          <w:rFonts w:ascii="Lato" w:hAnsi="Lato"/>
          <w:i/>
          <w:iCs/>
          <w:color w:val="595959" w:themeColor="text1" w:themeTint="A6"/>
          <w:sz w:val="22"/>
          <w:szCs w:val="22"/>
          <w:lang w:val="es-ES"/>
        </w:rPr>
        <w:t>National Geographic Society</w:t>
      </w:r>
      <w:r w:rsidRPr="00BE1F11">
        <w:rPr>
          <w:rFonts w:ascii="Lato" w:hAnsi="Lato"/>
          <w:color w:val="595959" w:themeColor="text1" w:themeTint="A6"/>
          <w:sz w:val="22"/>
          <w:szCs w:val="22"/>
          <w:lang w:val="es-ES"/>
        </w:rPr>
        <w:t>, pasajeros a bordo de los cruceros que recorren el Golfo de California realizan donativos para apoyar los esfuerzos de organizaciones locales. Cada año, los recursos se destinan a sub-proyectos de conservación operados por las organizacion</w:t>
      </w:r>
      <w:r>
        <w:rPr>
          <w:rFonts w:ascii="Lato" w:hAnsi="Lato"/>
          <w:color w:val="595959" w:themeColor="text1" w:themeTint="A6"/>
          <w:sz w:val="22"/>
          <w:szCs w:val="22"/>
          <w:lang w:val="es-ES"/>
        </w:rPr>
        <w:t>es de la sociedad civil</w:t>
      </w:r>
      <w:r w:rsidRPr="00BE1F11">
        <w:rPr>
          <w:rFonts w:ascii="Lato" w:hAnsi="Lato"/>
          <w:color w:val="595959" w:themeColor="text1" w:themeTint="A6"/>
          <w:sz w:val="22"/>
          <w:szCs w:val="22"/>
          <w:lang w:val="es-ES"/>
        </w:rPr>
        <w:t xml:space="preserve"> de la región. Los sub-proyectos están encaminados a asegurar la participación ciudadana en el manejo de los recursos naturales marinos y costeros, y a fortalecer el tejido social en las comunidades costeras. </w:t>
      </w:r>
      <w:r w:rsidRPr="00BE1F11">
        <w:rPr>
          <w:rFonts w:ascii="Lato" w:hAnsi="Lato"/>
          <w:i/>
          <w:iCs/>
          <w:color w:val="595959" w:themeColor="text1" w:themeTint="A6"/>
          <w:sz w:val="22"/>
          <w:szCs w:val="22"/>
          <w:lang w:val="es-ES"/>
        </w:rPr>
        <w:t>The David and Lucile Packard Foundation</w:t>
      </w:r>
      <w:r w:rsidRPr="00BE1F11">
        <w:rPr>
          <w:rFonts w:ascii="Lato" w:hAnsi="Lato"/>
          <w:color w:val="595959" w:themeColor="text1" w:themeTint="A6"/>
          <w:sz w:val="22"/>
          <w:szCs w:val="22"/>
          <w:lang w:val="es-ES"/>
        </w:rPr>
        <w:t xml:space="preserve"> y FMCN aportan recursos de contrapartida que triplican los donativos de los viajeros. Los sub-proyectos son seleccionados a través de convocatorias abiertas publicadas cada tres años de acuerdo con lo establecido en el Manual de Operaciones de FMCN. El C</w:t>
      </w:r>
      <w:r>
        <w:rPr>
          <w:rFonts w:ascii="Lato" w:hAnsi="Lato"/>
          <w:color w:val="595959" w:themeColor="text1" w:themeTint="A6"/>
          <w:sz w:val="22"/>
          <w:szCs w:val="22"/>
          <w:lang w:val="es-ES"/>
        </w:rPr>
        <w:t xml:space="preserve">omité </w:t>
      </w:r>
      <w:r w:rsidRPr="00BE1F11">
        <w:rPr>
          <w:rFonts w:ascii="Lato" w:hAnsi="Lato"/>
          <w:color w:val="595959" w:themeColor="text1" w:themeTint="A6"/>
          <w:sz w:val="22"/>
          <w:szCs w:val="22"/>
          <w:lang w:val="es-ES"/>
        </w:rPr>
        <w:t>M</w:t>
      </w:r>
      <w:r>
        <w:rPr>
          <w:rFonts w:ascii="Lato" w:hAnsi="Lato"/>
          <w:color w:val="595959" w:themeColor="text1" w:themeTint="A6"/>
          <w:sz w:val="22"/>
          <w:szCs w:val="22"/>
          <w:lang w:val="es-ES"/>
        </w:rPr>
        <w:t>arino</w:t>
      </w:r>
      <w:r w:rsidRPr="00BE1F11">
        <w:rPr>
          <w:rFonts w:ascii="Lato" w:hAnsi="Lato"/>
          <w:color w:val="595959" w:themeColor="text1" w:themeTint="A6"/>
          <w:sz w:val="22"/>
          <w:szCs w:val="22"/>
          <w:lang w:val="es-ES"/>
        </w:rPr>
        <w:t xml:space="preserve">, conformado por expertos de diferentes sectores de la sociedad, asesora, acompaña y supervisa las operaciones del FGC y toma la decisión final sobre los sub-proyectos a financiar. </w:t>
      </w:r>
    </w:p>
    <w:p w:rsidR="00C90843" w:rsidRPr="0002503C"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p>
    <w:p w:rsidR="00C90843" w:rsidRDefault="00C90843" w:rsidP="00C90843">
      <w:pPr>
        <w:pStyle w:val="Ttulo1"/>
        <w:spacing w:beforeLines="24" w:before="57" w:afterLines="24" w:after="57" w:line="288" w:lineRule="auto"/>
        <w:jc w:val="both"/>
        <w:rPr>
          <w:rFonts w:ascii="Lato" w:hAnsi="Lato"/>
          <w:color w:val="595959" w:themeColor="text1" w:themeTint="A6"/>
          <w:sz w:val="22"/>
          <w:szCs w:val="22"/>
          <w:lang w:val="es-ES"/>
        </w:rPr>
      </w:pPr>
      <w:bookmarkStart w:id="27" w:name="_Toc61886557"/>
      <w:bookmarkStart w:id="28" w:name="_Toc95218414"/>
      <w:bookmarkStart w:id="29" w:name="_Toc159420260"/>
      <w:r>
        <w:rPr>
          <w:rFonts w:ascii="Lato" w:hAnsi="Lato"/>
          <w:color w:val="595959" w:themeColor="text1" w:themeTint="A6"/>
          <w:sz w:val="22"/>
          <w:szCs w:val="22"/>
          <w:lang w:val="es-ES"/>
        </w:rPr>
        <w:t xml:space="preserve">A1.7. </w:t>
      </w:r>
      <w:r w:rsidRPr="00EB1FD4">
        <w:rPr>
          <w:rFonts w:ascii="Lato" w:hAnsi="Lato"/>
          <w:color w:val="595959" w:themeColor="text1" w:themeTint="A6"/>
          <w:sz w:val="22"/>
          <w:szCs w:val="22"/>
          <w:lang w:val="es-ES"/>
        </w:rPr>
        <w:t>Fondo para Tierras Privadas Costeras.</w:t>
      </w:r>
      <w:bookmarkEnd w:id="27"/>
      <w:bookmarkEnd w:id="28"/>
      <w:bookmarkEnd w:id="29"/>
    </w:p>
    <w:p w:rsidR="00C90843" w:rsidRPr="00271DE0" w:rsidRDefault="00C90843" w:rsidP="00C90843">
      <w:pPr>
        <w:rPr>
          <w:lang w:val="es-ES"/>
        </w:rPr>
      </w:pPr>
    </w:p>
    <w:p w:rsidR="00C90843" w:rsidRPr="00BE1F11"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sidRPr="00BE1F11">
        <w:rPr>
          <w:rFonts w:ascii="Lato" w:hAnsi="Lato"/>
          <w:color w:val="595959" w:themeColor="text1" w:themeTint="A6"/>
          <w:sz w:val="22"/>
          <w:szCs w:val="22"/>
          <w:lang w:val="es-ES"/>
        </w:rPr>
        <w:t xml:space="preserve">El objetivo de este fondo patrimonial es apoyar al manejo de áreas costeras prioritarias para la conservación en el noreste de México. Este fondo proviene de recursos de </w:t>
      </w:r>
      <w:r w:rsidRPr="00BE1F11">
        <w:rPr>
          <w:rFonts w:ascii="Lato" w:hAnsi="Lato"/>
          <w:i/>
          <w:iCs/>
          <w:color w:val="595959" w:themeColor="text1" w:themeTint="A6"/>
          <w:sz w:val="22"/>
          <w:szCs w:val="22"/>
          <w:lang w:val="es-ES"/>
        </w:rPr>
        <w:t>Resources Legacy Fund</w:t>
      </w:r>
      <w:r w:rsidRPr="00BE1F11">
        <w:rPr>
          <w:rFonts w:ascii="Lato" w:hAnsi="Lato"/>
          <w:color w:val="595959" w:themeColor="text1" w:themeTint="A6"/>
          <w:sz w:val="22"/>
          <w:szCs w:val="22"/>
          <w:lang w:val="es-ES"/>
        </w:rPr>
        <w:t xml:space="preserve"> y apoya a seis terrenos privados ubicados en los siguientes sitios estratégicos: 1) Valle de los Cirios; 2) Bahía Magdalena; 3) San Quintín; 4) Corredor de San Cosme; 5) Humedales de Sinaloa, y 6) Marismas Nacionales.</w:t>
      </w:r>
    </w:p>
    <w:p w:rsidR="00C90843" w:rsidRPr="00BE1F11"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sidRPr="00BE1F11">
        <w:rPr>
          <w:rFonts w:ascii="Lato" w:hAnsi="Lato"/>
          <w:color w:val="595959" w:themeColor="text1" w:themeTint="A6"/>
          <w:sz w:val="22"/>
          <w:szCs w:val="22"/>
          <w:lang w:val="es-ES"/>
        </w:rPr>
        <w:t>Las actividades que apoya este proyecto son:</w:t>
      </w:r>
    </w:p>
    <w:p w:rsidR="00C90843" w:rsidRPr="00BE1F11" w:rsidRDefault="00C90843" w:rsidP="00387388">
      <w:pPr>
        <w:pStyle w:val="Prrafodelista"/>
        <w:keepLines/>
        <w:numPr>
          <w:ilvl w:val="0"/>
          <w:numId w:val="6"/>
        </w:numPr>
        <w:spacing w:beforeLines="24" w:before="57" w:afterLines="24" w:after="57" w:line="288" w:lineRule="auto"/>
        <w:jc w:val="both"/>
        <w:rPr>
          <w:rFonts w:ascii="Lato" w:hAnsi="Lato"/>
          <w:color w:val="595959" w:themeColor="text1" w:themeTint="A6"/>
          <w:lang w:val="es-ES"/>
        </w:rPr>
      </w:pPr>
      <w:r w:rsidRPr="00BE1F11">
        <w:rPr>
          <w:rFonts w:ascii="Lato" w:hAnsi="Lato"/>
          <w:color w:val="595959" w:themeColor="text1" w:themeTint="A6"/>
          <w:lang w:val="es-ES"/>
        </w:rPr>
        <w:t>Monitoreo y manejo de los terrenos, incluyendo actividades de restauración, gastos de traslado y costos del personal asociados con el manejo y monitoreo.</w:t>
      </w:r>
    </w:p>
    <w:p w:rsidR="00C90843" w:rsidRPr="00BE1F11" w:rsidRDefault="00C90843" w:rsidP="00387388">
      <w:pPr>
        <w:pStyle w:val="Prrafodelista"/>
        <w:keepLines/>
        <w:numPr>
          <w:ilvl w:val="0"/>
          <w:numId w:val="6"/>
        </w:numPr>
        <w:spacing w:beforeLines="24" w:before="57" w:afterLines="24" w:after="57" w:line="288" w:lineRule="auto"/>
        <w:jc w:val="both"/>
        <w:rPr>
          <w:rFonts w:ascii="Lato" w:hAnsi="Lato"/>
          <w:color w:val="595959" w:themeColor="text1" w:themeTint="A6"/>
          <w:lang w:val="es-ES"/>
        </w:rPr>
      </w:pPr>
      <w:r w:rsidRPr="00BE1F11">
        <w:rPr>
          <w:rFonts w:ascii="Lato" w:hAnsi="Lato"/>
          <w:color w:val="595959" w:themeColor="text1" w:themeTint="A6"/>
          <w:lang w:val="es-ES"/>
        </w:rPr>
        <w:t>Pago de predial y otros impuestos, y asesoría para mantener y documentar los derechos de propiedad de los terrenos.</w:t>
      </w:r>
    </w:p>
    <w:p w:rsidR="00C90843" w:rsidRDefault="00C90843" w:rsidP="00387388">
      <w:pPr>
        <w:pStyle w:val="Prrafodelista"/>
        <w:keepLines/>
        <w:numPr>
          <w:ilvl w:val="0"/>
          <w:numId w:val="6"/>
        </w:numPr>
        <w:spacing w:beforeLines="24" w:before="57" w:afterLines="24" w:after="57" w:line="288" w:lineRule="auto"/>
        <w:jc w:val="both"/>
        <w:rPr>
          <w:rFonts w:ascii="Lato" w:hAnsi="Lato"/>
          <w:color w:val="595959" w:themeColor="text1" w:themeTint="A6"/>
          <w:lang w:val="es-ES"/>
        </w:rPr>
      </w:pPr>
      <w:r w:rsidRPr="00BE1F11">
        <w:rPr>
          <w:rFonts w:ascii="Lato" w:hAnsi="Lato"/>
          <w:color w:val="595959" w:themeColor="text1" w:themeTint="A6"/>
          <w:lang w:val="es-ES"/>
        </w:rPr>
        <w:t xml:space="preserve">Reparaciones y reemplazos de infraestructura menores, señalización y otras inversiones similares para apoyar el manejo y protección de los recursos naturales en los terrenos. </w:t>
      </w:r>
    </w:p>
    <w:p w:rsidR="00C90843" w:rsidRDefault="00C90843" w:rsidP="00C90843">
      <w:pPr>
        <w:keepLines/>
        <w:spacing w:beforeLines="24" w:before="57" w:afterLines="24" w:after="57" w:line="288" w:lineRule="auto"/>
        <w:jc w:val="both"/>
        <w:rPr>
          <w:rFonts w:ascii="Lato" w:hAnsi="Lato"/>
          <w:color w:val="595959" w:themeColor="text1" w:themeTint="A6"/>
          <w:lang w:val="es-ES"/>
        </w:rPr>
      </w:pPr>
    </w:p>
    <w:p w:rsidR="00C90843" w:rsidRDefault="00C90843" w:rsidP="00C90843">
      <w:pPr>
        <w:keepLines/>
        <w:spacing w:beforeLines="24" w:before="57" w:afterLines="24" w:after="57" w:line="288" w:lineRule="auto"/>
        <w:jc w:val="both"/>
        <w:rPr>
          <w:rFonts w:ascii="Lato" w:hAnsi="Lato"/>
          <w:color w:val="595959" w:themeColor="text1" w:themeTint="A6"/>
          <w:lang w:val="es-ES"/>
        </w:rPr>
      </w:pPr>
    </w:p>
    <w:p w:rsidR="00C90843" w:rsidRPr="00BE1F11" w:rsidRDefault="00C90843" w:rsidP="00C90843">
      <w:pPr>
        <w:keepLines/>
        <w:spacing w:beforeLines="24" w:before="57" w:afterLines="24" w:after="57" w:line="288" w:lineRule="auto"/>
        <w:jc w:val="both"/>
        <w:rPr>
          <w:rFonts w:ascii="Lato" w:hAnsi="Lato"/>
          <w:color w:val="595959" w:themeColor="text1" w:themeTint="A6"/>
          <w:lang w:val="es-ES"/>
        </w:rPr>
      </w:pPr>
    </w:p>
    <w:p w:rsidR="00C90843" w:rsidRDefault="00C90843" w:rsidP="00C90843">
      <w:pPr>
        <w:pStyle w:val="Ttulo1"/>
        <w:spacing w:beforeLines="24" w:before="57" w:afterLines="24" w:after="57" w:line="288" w:lineRule="auto"/>
        <w:jc w:val="both"/>
        <w:rPr>
          <w:rFonts w:ascii="Lato" w:hAnsi="Lato"/>
          <w:color w:val="595959" w:themeColor="text1" w:themeTint="A6"/>
          <w:sz w:val="22"/>
          <w:szCs w:val="22"/>
          <w:lang w:val="es-ES"/>
        </w:rPr>
      </w:pPr>
      <w:bookmarkStart w:id="30" w:name="_Toc159420261"/>
      <w:r w:rsidRPr="002C37B9">
        <w:rPr>
          <w:rFonts w:ascii="Lato" w:hAnsi="Lato"/>
          <w:color w:val="595959" w:themeColor="text1" w:themeTint="A6"/>
          <w:sz w:val="22"/>
          <w:szCs w:val="22"/>
          <w:lang w:val="es-ES"/>
        </w:rPr>
        <w:lastRenderedPageBreak/>
        <w:t xml:space="preserve">A1.8. </w:t>
      </w:r>
      <w:bookmarkStart w:id="31" w:name="_Toc61886558"/>
      <w:bookmarkStart w:id="32" w:name="_Toc95218415"/>
      <w:r w:rsidRPr="002C37B9">
        <w:rPr>
          <w:rFonts w:ascii="Lato" w:hAnsi="Lato"/>
          <w:color w:val="595959" w:themeColor="text1" w:themeTint="A6"/>
          <w:sz w:val="22"/>
          <w:szCs w:val="22"/>
          <w:lang w:val="es-ES"/>
        </w:rPr>
        <w:t>Conservación de</w:t>
      </w:r>
      <w:bookmarkEnd w:id="31"/>
      <w:r w:rsidRPr="002C37B9">
        <w:rPr>
          <w:rFonts w:ascii="Lato" w:hAnsi="Lato"/>
          <w:color w:val="595959" w:themeColor="text1" w:themeTint="A6"/>
          <w:sz w:val="22"/>
          <w:szCs w:val="22"/>
          <w:lang w:val="es-ES"/>
        </w:rPr>
        <w:t>l Sistema Arrecifal Mesoamericano</w:t>
      </w:r>
      <w:bookmarkEnd w:id="30"/>
      <w:bookmarkEnd w:id="32"/>
    </w:p>
    <w:p w:rsidR="00C90843" w:rsidRPr="00271DE0" w:rsidRDefault="00C90843" w:rsidP="00C90843">
      <w:pPr>
        <w:rPr>
          <w:lang w:val="es-ES"/>
        </w:rPr>
      </w:pPr>
    </w:p>
    <w:p w:rsidR="00C90843" w:rsidRPr="00BE1F11"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sidRPr="00BE1F11">
        <w:rPr>
          <w:rFonts w:ascii="Lato" w:hAnsi="Lato"/>
          <w:color w:val="595959" w:themeColor="text1" w:themeTint="A6"/>
          <w:sz w:val="22"/>
          <w:szCs w:val="22"/>
          <w:lang w:val="es-ES"/>
        </w:rPr>
        <w:t xml:space="preserve">Esta iniciativa tiene como objetivo contribuir a la protección de la diversidad biológica y al uso sostenible de los recursos marino-costeros del Sistema Arrecifal Mesoamericano </w:t>
      </w:r>
      <w:r>
        <w:rPr>
          <w:rFonts w:ascii="Lato" w:hAnsi="Lato"/>
          <w:color w:val="595959" w:themeColor="text1" w:themeTint="A6"/>
          <w:sz w:val="22"/>
          <w:szCs w:val="22"/>
          <w:lang w:val="es-ES"/>
        </w:rPr>
        <w:t>(</w:t>
      </w:r>
      <w:r w:rsidRPr="00BE1F11">
        <w:rPr>
          <w:rFonts w:ascii="Lato" w:hAnsi="Lato"/>
          <w:color w:val="595959" w:themeColor="text1" w:themeTint="A6"/>
          <w:sz w:val="22"/>
          <w:szCs w:val="22"/>
          <w:lang w:val="es-ES"/>
        </w:rPr>
        <w:t>SAM</w:t>
      </w:r>
      <w:r>
        <w:rPr>
          <w:rFonts w:ascii="Lato" w:hAnsi="Lato"/>
          <w:color w:val="595959" w:themeColor="text1" w:themeTint="A6"/>
          <w:sz w:val="22"/>
          <w:szCs w:val="22"/>
          <w:lang w:val="es-ES"/>
        </w:rPr>
        <w:t>)</w:t>
      </w:r>
      <w:r w:rsidRPr="00BE1F11">
        <w:rPr>
          <w:rFonts w:ascii="Lato" w:hAnsi="Lato"/>
          <w:color w:val="595959" w:themeColor="text1" w:themeTint="A6"/>
          <w:sz w:val="22"/>
          <w:szCs w:val="22"/>
          <w:lang w:val="es-ES"/>
        </w:rPr>
        <w:t>, al fomento del bienestar económico de la región y a la mejora de la calidad de vida de las poblaciones residentes, mediante la consolidación de una red funcional de AMP. Este proyecto es financiado p</w:t>
      </w:r>
      <w:r>
        <w:rPr>
          <w:rFonts w:ascii="Lato" w:hAnsi="Lato"/>
          <w:color w:val="595959" w:themeColor="text1" w:themeTint="A6"/>
          <w:sz w:val="22"/>
          <w:szCs w:val="22"/>
          <w:lang w:val="es-ES"/>
        </w:rPr>
        <w:t>or la Cooperación Alemana y el banco alemán de desarrollo, KfW</w:t>
      </w:r>
      <w:r w:rsidRPr="00BE1F11">
        <w:rPr>
          <w:rFonts w:ascii="Lato" w:hAnsi="Lato"/>
          <w:color w:val="595959" w:themeColor="text1" w:themeTint="A6"/>
          <w:sz w:val="22"/>
          <w:szCs w:val="22"/>
          <w:lang w:val="es-ES"/>
        </w:rPr>
        <w:t>, y ejecutado por el Fondo para el Sistema Arrecifal Mesoamericano (Fondo SAM), a través de sus Fondos Miembro</w:t>
      </w:r>
      <w:r>
        <w:rPr>
          <w:rFonts w:ascii="Lato" w:hAnsi="Lato"/>
          <w:color w:val="595959" w:themeColor="text1" w:themeTint="A6"/>
          <w:sz w:val="22"/>
          <w:szCs w:val="22"/>
          <w:lang w:val="es-ES"/>
        </w:rPr>
        <w:t>s</w:t>
      </w:r>
      <w:r w:rsidRPr="00BE1F11">
        <w:rPr>
          <w:rFonts w:ascii="Lato" w:hAnsi="Lato"/>
          <w:color w:val="595959" w:themeColor="text1" w:themeTint="A6"/>
          <w:sz w:val="22"/>
          <w:szCs w:val="22"/>
          <w:lang w:val="es-ES"/>
        </w:rPr>
        <w:t xml:space="preserve"> en los cuatro países del SAM que son México, Belice, Guatemala y Honduras. FMCN es el Fondo Miembro para México y se encarga de la supervisión técnica de los proyectos en campo. </w:t>
      </w:r>
    </w:p>
    <w:p w:rsidR="00C90843" w:rsidRPr="00BE1F11"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sidRPr="00BE1F11">
        <w:rPr>
          <w:rFonts w:ascii="Lato" w:hAnsi="Lato"/>
          <w:color w:val="595959" w:themeColor="text1" w:themeTint="A6"/>
          <w:sz w:val="22"/>
          <w:szCs w:val="22"/>
          <w:lang w:val="es-ES"/>
        </w:rPr>
        <w:t xml:space="preserve">La iniciativa cuenta con recursos extinguibles en fases de cinco años y su mecanismo de operación es a través de un Plan Operativo Anual (POA) que se ejecuta bajo los lineamientos descritos en los documentos del proyecto, disponibles en línea en la página del Fondo SAM (www.marfund.org). En la Fase I (2012 -2017), la AMP beneficiada fue el Área de Protección de Flora y Fauna Yum Balam, de administración federal. En la Fase II (2015 – 2019), fue la Reserva Estatal Santuario del Manatí Bahía de Chetumal, de administración estatal. La Fase III se encuentra actualmente en proceso de preparación, se espera que se ejecute a partir de 2022. </w:t>
      </w:r>
    </w:p>
    <w:p w:rsidR="00C90843" w:rsidRPr="00BE1F11"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sidRPr="00BE1F11">
        <w:rPr>
          <w:rFonts w:ascii="Lato" w:hAnsi="Lato"/>
          <w:color w:val="595959" w:themeColor="text1" w:themeTint="A6"/>
          <w:sz w:val="22"/>
          <w:szCs w:val="22"/>
          <w:lang w:val="es-ES"/>
        </w:rPr>
        <w:t xml:space="preserve">FMCN también da seguimiento técnico al programa de pequeñas donaciones del Fondo SAM en México que, a través de una convocatoria anual, da financiamiento a </w:t>
      </w:r>
      <w:r>
        <w:rPr>
          <w:rFonts w:ascii="Lato" w:hAnsi="Lato"/>
          <w:color w:val="595959" w:themeColor="text1" w:themeTint="A6"/>
          <w:sz w:val="22"/>
          <w:szCs w:val="22"/>
          <w:lang w:val="es-ES"/>
        </w:rPr>
        <w:t>OLLC</w:t>
      </w:r>
      <w:r w:rsidRPr="00BE1F11">
        <w:rPr>
          <w:rFonts w:ascii="Lato" w:hAnsi="Lato"/>
          <w:color w:val="595959" w:themeColor="text1" w:themeTint="A6"/>
          <w:sz w:val="22"/>
          <w:szCs w:val="22"/>
          <w:lang w:val="es-ES"/>
        </w:rPr>
        <w:t xml:space="preserve"> para implementar proyectos que contribuyan a la conservación de las funciones ecológicas del SAM. El programa de</w:t>
      </w:r>
      <w:r>
        <w:rPr>
          <w:rFonts w:ascii="Lato" w:hAnsi="Lato"/>
          <w:color w:val="595959" w:themeColor="text1" w:themeTint="A6"/>
          <w:sz w:val="22"/>
          <w:szCs w:val="22"/>
          <w:lang w:val="es-ES"/>
        </w:rPr>
        <w:t xml:space="preserve"> pequeñas donaciones lanzó su </w:t>
      </w:r>
      <w:r w:rsidRPr="002C37B9">
        <w:rPr>
          <w:rFonts w:ascii="Lato" w:hAnsi="Lato"/>
          <w:color w:val="595959" w:themeColor="text1" w:themeTint="A6"/>
          <w:sz w:val="22"/>
          <w:szCs w:val="22"/>
          <w:lang w:val="es-ES"/>
        </w:rPr>
        <w:t>15</w:t>
      </w:r>
      <w:r w:rsidRPr="002C37B9">
        <w:rPr>
          <w:rFonts w:ascii="Lato" w:hAnsi="Lato"/>
          <w:color w:val="595959" w:themeColor="text1" w:themeTint="A6"/>
          <w:sz w:val="22"/>
          <w:szCs w:val="22"/>
          <w:vertAlign w:val="superscript"/>
          <w:lang w:val="es-ES"/>
        </w:rPr>
        <w:t>va</w:t>
      </w:r>
      <w:r w:rsidRPr="002C37B9">
        <w:rPr>
          <w:rFonts w:ascii="Lato" w:hAnsi="Lato"/>
          <w:color w:val="595959" w:themeColor="text1" w:themeTint="A6"/>
          <w:sz w:val="22"/>
          <w:szCs w:val="22"/>
          <w:lang w:val="es-ES"/>
        </w:rPr>
        <w:t xml:space="preserve"> convocatoria en 2022.</w:t>
      </w:r>
    </w:p>
    <w:p w:rsidR="00C90843" w:rsidRPr="00BE1F11"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p>
    <w:p w:rsidR="00C90843"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bookmarkStart w:id="33" w:name="_Toc95218417"/>
    </w:p>
    <w:p w:rsidR="00C90843" w:rsidRPr="00EF6DEE" w:rsidRDefault="00C90843" w:rsidP="00C90843">
      <w:pPr>
        <w:pStyle w:val="Ttulo1"/>
        <w:spacing w:beforeLines="24" w:before="57" w:afterLines="24" w:after="57" w:line="288" w:lineRule="auto"/>
        <w:jc w:val="both"/>
        <w:rPr>
          <w:rFonts w:ascii="Lato" w:hAnsi="Lato"/>
          <w:color w:val="595959" w:themeColor="text1" w:themeTint="A6"/>
          <w:sz w:val="22"/>
          <w:szCs w:val="22"/>
          <w:lang w:val="es-ES"/>
        </w:rPr>
      </w:pPr>
      <w:bookmarkStart w:id="34" w:name="_Toc159420262"/>
      <w:r w:rsidRPr="72805BE4">
        <w:rPr>
          <w:rFonts w:ascii="Lato" w:hAnsi="Lato"/>
          <w:color w:val="595959" w:themeColor="text1" w:themeTint="A6"/>
          <w:sz w:val="22"/>
          <w:szCs w:val="22"/>
          <w:lang w:val="es-ES"/>
        </w:rPr>
        <w:t>A1.</w:t>
      </w:r>
      <w:r>
        <w:rPr>
          <w:rFonts w:ascii="Lato" w:hAnsi="Lato"/>
          <w:color w:val="595959" w:themeColor="text1" w:themeTint="A6"/>
          <w:sz w:val="22"/>
          <w:szCs w:val="22"/>
          <w:lang w:val="es-ES"/>
        </w:rPr>
        <w:t>9</w:t>
      </w:r>
      <w:r w:rsidRPr="72805BE4">
        <w:rPr>
          <w:rFonts w:ascii="Lato" w:hAnsi="Lato"/>
          <w:color w:val="595959" w:themeColor="text1" w:themeTint="A6"/>
          <w:sz w:val="22"/>
          <w:szCs w:val="22"/>
          <w:lang w:val="es-ES"/>
        </w:rPr>
        <w:t>. Financiamiento Sostenible para Nuevas Áreas Naturales Protegidas (FINANP)</w:t>
      </w:r>
      <w:bookmarkEnd w:id="33"/>
      <w:bookmarkEnd w:id="34"/>
      <w:r w:rsidRPr="72805BE4">
        <w:rPr>
          <w:rFonts w:ascii="Lato" w:hAnsi="Lato"/>
          <w:color w:val="595959" w:themeColor="text1" w:themeTint="A6"/>
          <w:sz w:val="22"/>
          <w:szCs w:val="22"/>
          <w:lang w:val="es-ES"/>
        </w:rPr>
        <w:t xml:space="preserve"> </w:t>
      </w:r>
    </w:p>
    <w:p w:rsidR="00C90843" w:rsidRPr="00271DE0" w:rsidRDefault="00C90843" w:rsidP="00C90843">
      <w:pPr>
        <w:spacing w:line="360" w:lineRule="auto"/>
        <w:jc w:val="both"/>
        <w:rPr>
          <w:rFonts w:ascii="Tahoma" w:hAnsi="Tahoma" w:cs="Tahoma"/>
          <w:bCs/>
          <w:color w:val="000000" w:themeColor="text1"/>
          <w:sz w:val="22"/>
        </w:rPr>
      </w:pPr>
    </w:p>
    <w:p w:rsidR="00C90843" w:rsidRPr="00740AFC" w:rsidRDefault="00C90843" w:rsidP="00C90843">
      <w:pPr>
        <w:spacing w:beforeLines="24" w:before="57" w:afterLines="24" w:after="57" w:line="288" w:lineRule="auto"/>
        <w:jc w:val="both"/>
        <w:rPr>
          <w:rFonts w:ascii="Lato" w:hAnsi="Lato"/>
          <w:color w:val="595959" w:themeColor="text1" w:themeTint="A6"/>
          <w:sz w:val="22"/>
          <w:szCs w:val="22"/>
          <w:lang w:val="es-ES"/>
        </w:rPr>
      </w:pPr>
      <w:r w:rsidRPr="00740AFC">
        <w:rPr>
          <w:rFonts w:ascii="Lato" w:hAnsi="Lato"/>
          <w:color w:val="595959" w:themeColor="text1" w:themeTint="A6"/>
          <w:sz w:val="22"/>
          <w:szCs w:val="22"/>
          <w:lang w:val="es-ES"/>
        </w:rPr>
        <w:t>En el marco de las Negociaciones Intergubernamentales sobre Cooperación para el Desarrollo Sustentable, Medio Ambiente y Cambio Climático, realizadas en junio de 2015, así como las consultas intergubernamentales de junio 2016, el Gobierno de la República Federal de Alemania y el Gobierno de los Estados Unidos Mexicanos</w:t>
      </w:r>
      <w:r>
        <w:rPr>
          <w:rFonts w:ascii="Lato" w:hAnsi="Lato"/>
          <w:color w:val="595959" w:themeColor="text1" w:themeTint="A6"/>
          <w:sz w:val="22"/>
          <w:szCs w:val="22"/>
          <w:lang w:val="es-ES"/>
        </w:rPr>
        <w:t xml:space="preserve"> </w:t>
      </w:r>
      <w:r w:rsidRPr="00740AFC">
        <w:rPr>
          <w:rFonts w:ascii="Lato" w:hAnsi="Lato"/>
          <w:color w:val="595959" w:themeColor="text1" w:themeTint="A6"/>
          <w:sz w:val="22"/>
          <w:szCs w:val="22"/>
          <w:lang w:val="es-ES"/>
        </w:rPr>
        <w:t xml:space="preserve"> coincidieron en implementar el programa llamado Finan</w:t>
      </w:r>
      <w:r>
        <w:rPr>
          <w:rFonts w:ascii="Lato" w:hAnsi="Lato"/>
          <w:color w:val="595959" w:themeColor="text1" w:themeTint="A6"/>
          <w:sz w:val="22"/>
          <w:szCs w:val="22"/>
          <w:lang w:val="es-ES"/>
        </w:rPr>
        <w:t>ciamiento de</w:t>
      </w:r>
      <w:r w:rsidRPr="00740AFC">
        <w:rPr>
          <w:rFonts w:ascii="Lato" w:hAnsi="Lato"/>
          <w:color w:val="595959" w:themeColor="text1" w:themeTint="A6"/>
          <w:sz w:val="22"/>
          <w:szCs w:val="22"/>
          <w:lang w:val="es-ES"/>
        </w:rPr>
        <w:t xml:space="preserve"> Áreas Naturales Protegidas (FINANP)</w:t>
      </w:r>
      <w:r>
        <w:rPr>
          <w:rFonts w:ascii="Lato" w:hAnsi="Lato"/>
          <w:color w:val="595959" w:themeColor="text1" w:themeTint="A6"/>
          <w:sz w:val="22"/>
          <w:szCs w:val="22"/>
          <w:lang w:val="es-ES"/>
        </w:rPr>
        <w:t>;</w:t>
      </w:r>
      <w:r w:rsidRPr="00740AFC">
        <w:rPr>
          <w:rFonts w:ascii="Lato" w:hAnsi="Lato"/>
          <w:color w:val="595959" w:themeColor="text1" w:themeTint="A6"/>
          <w:sz w:val="22"/>
          <w:szCs w:val="22"/>
          <w:lang w:val="es-ES"/>
        </w:rPr>
        <w:t xml:space="preserve"> orientado a apoyar el establecimiento de nuevas </w:t>
      </w:r>
      <w:r>
        <w:rPr>
          <w:rFonts w:ascii="Lato" w:hAnsi="Lato"/>
          <w:color w:val="595959" w:themeColor="text1" w:themeTint="A6"/>
          <w:sz w:val="22"/>
          <w:szCs w:val="22"/>
          <w:lang w:val="es-ES"/>
        </w:rPr>
        <w:t>ANP</w:t>
      </w:r>
      <w:r w:rsidRPr="00740AFC">
        <w:rPr>
          <w:rFonts w:ascii="Lato" w:hAnsi="Lato"/>
          <w:color w:val="595959" w:themeColor="text1" w:themeTint="A6"/>
          <w:sz w:val="22"/>
          <w:szCs w:val="22"/>
          <w:lang w:val="es-ES"/>
        </w:rPr>
        <w:t xml:space="preserve"> contribuyendo al avance en la implementación del Convenio sobre la Diversidad Biológica.</w:t>
      </w:r>
    </w:p>
    <w:p w:rsidR="00C90843" w:rsidRPr="00740AFC" w:rsidRDefault="00C90843" w:rsidP="00C90843">
      <w:pPr>
        <w:spacing w:beforeLines="24" w:before="57" w:afterLines="24" w:after="57" w:line="288" w:lineRule="auto"/>
        <w:jc w:val="both"/>
        <w:rPr>
          <w:rFonts w:ascii="Lato" w:hAnsi="Lato"/>
          <w:color w:val="595959" w:themeColor="text1" w:themeTint="A6"/>
          <w:sz w:val="22"/>
          <w:szCs w:val="22"/>
          <w:lang w:val="es-ES"/>
        </w:rPr>
      </w:pPr>
    </w:p>
    <w:p w:rsidR="00C90843" w:rsidRPr="00740AFC" w:rsidRDefault="00C90843" w:rsidP="00C90843">
      <w:pPr>
        <w:spacing w:beforeLines="24" w:before="57" w:afterLines="24" w:after="57" w:line="288" w:lineRule="auto"/>
        <w:jc w:val="both"/>
        <w:rPr>
          <w:rFonts w:ascii="Lato" w:hAnsi="Lato"/>
          <w:color w:val="595959" w:themeColor="text1" w:themeTint="A6"/>
          <w:sz w:val="22"/>
          <w:szCs w:val="22"/>
          <w:lang w:val="es-ES"/>
        </w:rPr>
      </w:pPr>
      <w:r w:rsidRPr="00740AFC">
        <w:rPr>
          <w:rFonts w:ascii="Lato" w:hAnsi="Lato"/>
          <w:color w:val="595959" w:themeColor="text1" w:themeTint="A6"/>
          <w:sz w:val="22"/>
          <w:szCs w:val="22"/>
          <w:lang w:val="es-ES"/>
        </w:rPr>
        <w:t xml:space="preserve">En marzo de 2020 el banco alemán de desarrollo, KfW, llevó acabó una misión de evaluación de FINANP con acompañamiento de la </w:t>
      </w:r>
      <w:r w:rsidRPr="00391C24">
        <w:rPr>
          <w:rFonts w:ascii="Lato" w:hAnsi="Lato"/>
          <w:color w:val="595959" w:themeColor="text1" w:themeTint="A6"/>
          <w:sz w:val="22"/>
          <w:szCs w:val="22"/>
          <w:lang w:val="es-ES"/>
        </w:rPr>
        <w:t>Semarnat</w:t>
      </w:r>
      <w:r>
        <w:rPr>
          <w:rFonts w:ascii="Lato" w:hAnsi="Lato"/>
          <w:color w:val="595959" w:themeColor="text1" w:themeTint="A6"/>
          <w:sz w:val="22"/>
          <w:szCs w:val="22"/>
          <w:lang w:val="es-ES"/>
        </w:rPr>
        <w:t xml:space="preserve"> </w:t>
      </w:r>
      <w:r w:rsidRPr="00740AFC">
        <w:rPr>
          <w:rFonts w:ascii="Lato" w:hAnsi="Lato"/>
          <w:color w:val="595959" w:themeColor="text1" w:themeTint="A6"/>
          <w:sz w:val="22"/>
          <w:szCs w:val="22"/>
          <w:lang w:val="es-ES"/>
        </w:rPr>
        <w:t xml:space="preserve">a través de la </w:t>
      </w:r>
      <w:r>
        <w:rPr>
          <w:rFonts w:ascii="Lato" w:hAnsi="Lato"/>
          <w:color w:val="595959" w:themeColor="text1" w:themeTint="A6"/>
          <w:sz w:val="22"/>
          <w:szCs w:val="22"/>
          <w:lang w:val="es-ES"/>
        </w:rPr>
        <w:t>Conanp</w:t>
      </w:r>
      <w:r w:rsidRPr="00740AFC">
        <w:rPr>
          <w:rFonts w:ascii="Lato" w:hAnsi="Lato"/>
          <w:color w:val="595959" w:themeColor="text1" w:themeTint="A6"/>
          <w:sz w:val="22"/>
          <w:szCs w:val="22"/>
          <w:lang w:val="es-ES"/>
        </w:rPr>
        <w:t xml:space="preserve">, la Unión Internacional para la Conservación de la Naturaleza (UICN) y </w:t>
      </w:r>
      <w:r>
        <w:rPr>
          <w:rFonts w:ascii="Lato" w:hAnsi="Lato"/>
          <w:color w:val="595959" w:themeColor="text1" w:themeTint="A6"/>
          <w:sz w:val="22"/>
          <w:szCs w:val="22"/>
          <w:lang w:val="es-ES"/>
        </w:rPr>
        <w:t>FMCN</w:t>
      </w:r>
      <w:r w:rsidRPr="00740AFC">
        <w:rPr>
          <w:rFonts w:ascii="Lato" w:hAnsi="Lato"/>
          <w:color w:val="595959" w:themeColor="text1" w:themeTint="A6"/>
          <w:sz w:val="22"/>
          <w:szCs w:val="22"/>
          <w:lang w:val="es-ES"/>
        </w:rPr>
        <w:t xml:space="preserve">, en la que fueron establecidos los principales acuerdos para la implementación de FINANP. </w:t>
      </w:r>
    </w:p>
    <w:p w:rsidR="00C90843" w:rsidRPr="00740AFC" w:rsidRDefault="00C90843" w:rsidP="00C90843">
      <w:pPr>
        <w:spacing w:beforeLines="24" w:before="57" w:afterLines="24" w:after="57" w:line="288" w:lineRule="auto"/>
        <w:jc w:val="both"/>
        <w:rPr>
          <w:rFonts w:ascii="Lato" w:hAnsi="Lato"/>
          <w:color w:val="595959" w:themeColor="text1" w:themeTint="A6"/>
          <w:sz w:val="22"/>
          <w:szCs w:val="22"/>
          <w:lang w:val="es-ES"/>
        </w:rPr>
      </w:pPr>
    </w:p>
    <w:p w:rsidR="00C90843" w:rsidRPr="00740AFC" w:rsidRDefault="00C90843" w:rsidP="00C90843">
      <w:pPr>
        <w:spacing w:beforeLines="24" w:before="57" w:afterLines="24" w:after="57" w:line="288" w:lineRule="auto"/>
        <w:jc w:val="both"/>
        <w:rPr>
          <w:rFonts w:ascii="Lato" w:hAnsi="Lato"/>
          <w:color w:val="595959" w:themeColor="text1" w:themeTint="A6"/>
          <w:sz w:val="22"/>
          <w:szCs w:val="22"/>
          <w:lang w:val="es-ES"/>
        </w:rPr>
      </w:pPr>
      <w:r w:rsidRPr="00740AFC">
        <w:rPr>
          <w:rFonts w:ascii="Lato" w:hAnsi="Lato"/>
          <w:color w:val="595959" w:themeColor="text1" w:themeTint="A6"/>
          <w:sz w:val="22"/>
          <w:szCs w:val="22"/>
          <w:lang w:val="es-ES"/>
        </w:rPr>
        <w:t>El objetivo de FINANP es que las ANP incluidas cuenten con una gestión efectiva y fortalezcan su estrategia de conectividad y de financiamiento sostenible. De esta manera se pretende contribuir al uso sostenible y a la protección del capital natural mexicano, a través del mantenimiento de su integridad ecosistémica y la provisión de servicios ambientales que se generan en ellas, como el mantenimiento de pesquerías, la belleza escénica o biodiversidad que es aprovechada para la generación de ingresos por turismo y regulación hídrica, entre otros. Además, se espera que dentro de las ANP seleccionadas disminuya la pérdida de biodiversidad asociada a cambios en el uso de suelo.</w:t>
      </w:r>
    </w:p>
    <w:p w:rsidR="00C90843" w:rsidRPr="00740AFC" w:rsidRDefault="00C90843" w:rsidP="00C90843">
      <w:pPr>
        <w:spacing w:beforeLines="24" w:before="57" w:afterLines="24" w:after="57" w:line="288" w:lineRule="auto"/>
        <w:jc w:val="both"/>
        <w:rPr>
          <w:rFonts w:ascii="Lato" w:hAnsi="Lato"/>
          <w:color w:val="595959" w:themeColor="text1" w:themeTint="A6"/>
          <w:sz w:val="22"/>
          <w:szCs w:val="22"/>
          <w:lang w:val="es-ES"/>
        </w:rPr>
      </w:pPr>
    </w:p>
    <w:p w:rsidR="00C90843" w:rsidRPr="00740AFC" w:rsidRDefault="00C90843" w:rsidP="00C90843">
      <w:pPr>
        <w:spacing w:beforeLines="24" w:before="57" w:afterLines="24" w:after="57" w:line="288" w:lineRule="auto"/>
        <w:jc w:val="both"/>
        <w:rPr>
          <w:rFonts w:ascii="Lato" w:hAnsi="Lato"/>
          <w:color w:val="595959" w:themeColor="text1" w:themeTint="A6"/>
          <w:sz w:val="22"/>
          <w:szCs w:val="22"/>
          <w:lang w:val="es-ES"/>
        </w:rPr>
      </w:pPr>
      <w:r w:rsidRPr="00740AFC">
        <w:rPr>
          <w:rFonts w:ascii="Lato" w:hAnsi="Lato"/>
          <w:color w:val="595959" w:themeColor="text1" w:themeTint="A6"/>
          <w:sz w:val="22"/>
          <w:szCs w:val="22"/>
          <w:lang w:val="es-ES"/>
        </w:rPr>
        <w:t>Las medidas para alcanzar este objetivo son 1) contribuir a la sostenibilidad financiera de ANP federales seleccionadas; 2) establecer el manejo efectivo de las ANP federales seleccionadas; 3) promover alianzas innovadoras de gestión integral del territorio, y 4) fortalece</w:t>
      </w:r>
      <w:r>
        <w:rPr>
          <w:rFonts w:ascii="Lato" w:hAnsi="Lato"/>
          <w:color w:val="595959" w:themeColor="text1" w:themeTint="A6"/>
          <w:sz w:val="22"/>
          <w:szCs w:val="22"/>
          <w:lang w:val="es-ES"/>
        </w:rPr>
        <w:t>r institucionalmente a la Conanp</w:t>
      </w:r>
      <w:r w:rsidRPr="00740AFC">
        <w:rPr>
          <w:rFonts w:ascii="Lato" w:hAnsi="Lato"/>
          <w:color w:val="595959" w:themeColor="text1" w:themeTint="A6"/>
          <w:sz w:val="22"/>
          <w:szCs w:val="22"/>
          <w:lang w:val="es-ES"/>
        </w:rPr>
        <w:t xml:space="preserve">. </w:t>
      </w:r>
    </w:p>
    <w:p w:rsidR="00C90843" w:rsidRPr="00740AFC" w:rsidRDefault="00C90843" w:rsidP="00C90843">
      <w:pPr>
        <w:spacing w:beforeLines="24" w:before="57" w:afterLines="24" w:after="57" w:line="288" w:lineRule="auto"/>
        <w:jc w:val="both"/>
        <w:rPr>
          <w:rFonts w:ascii="Lato" w:hAnsi="Lato"/>
          <w:color w:val="595959" w:themeColor="text1" w:themeTint="A6"/>
          <w:sz w:val="22"/>
          <w:szCs w:val="22"/>
          <w:lang w:val="es-ES"/>
        </w:rPr>
      </w:pPr>
    </w:p>
    <w:p w:rsidR="00C90843" w:rsidRPr="00740AFC" w:rsidRDefault="00C90843" w:rsidP="00C90843">
      <w:pPr>
        <w:spacing w:beforeLines="24" w:before="57" w:afterLines="24" w:after="57" w:line="288" w:lineRule="auto"/>
        <w:jc w:val="both"/>
        <w:rPr>
          <w:rFonts w:ascii="Lato" w:hAnsi="Lato"/>
          <w:color w:val="595959" w:themeColor="text1" w:themeTint="A6"/>
          <w:sz w:val="22"/>
          <w:szCs w:val="22"/>
          <w:lang w:val="es-ES"/>
        </w:rPr>
      </w:pPr>
      <w:r w:rsidRPr="00740AFC">
        <w:rPr>
          <w:rFonts w:ascii="Lato" w:hAnsi="Lato"/>
          <w:color w:val="595959" w:themeColor="text1" w:themeTint="A6"/>
          <w:sz w:val="22"/>
          <w:szCs w:val="22"/>
          <w:lang w:val="es-ES"/>
        </w:rPr>
        <w:t>FINANP tiene dos compontes para alcanzar su objetivo, FINANP I a cargo de la UICN con un aporte financiero extinguible de 10 millones de euros y FINANP II a cargo de FMCN con un aporte financiero patrimonial de 12 millones de euros. Éste tiene una duración prevista de cinco años a partir de la formalización entre FMCN y KfW el 1 de junio de 2021.</w:t>
      </w:r>
    </w:p>
    <w:p w:rsidR="00C90843" w:rsidRPr="00740AFC" w:rsidRDefault="00C90843" w:rsidP="00C90843">
      <w:pPr>
        <w:spacing w:beforeLines="24" w:before="57" w:afterLines="24" w:after="57" w:line="288" w:lineRule="auto"/>
        <w:jc w:val="both"/>
        <w:rPr>
          <w:rFonts w:ascii="Lato" w:hAnsi="Lato"/>
          <w:color w:val="595959" w:themeColor="text1" w:themeTint="A6"/>
          <w:sz w:val="22"/>
          <w:szCs w:val="22"/>
          <w:lang w:val="es-ES"/>
        </w:rPr>
      </w:pPr>
    </w:p>
    <w:p w:rsidR="00C90843" w:rsidRPr="00740AFC" w:rsidRDefault="00C90843" w:rsidP="00C90843">
      <w:pPr>
        <w:spacing w:beforeLines="24" w:before="57" w:afterLines="24" w:after="57" w:line="288" w:lineRule="auto"/>
        <w:jc w:val="both"/>
        <w:rPr>
          <w:rFonts w:ascii="Lato" w:hAnsi="Lato"/>
          <w:color w:val="595959" w:themeColor="text1" w:themeTint="A6"/>
          <w:sz w:val="22"/>
          <w:szCs w:val="22"/>
          <w:lang w:val="es-ES"/>
        </w:rPr>
      </w:pPr>
      <w:r w:rsidRPr="00740AFC">
        <w:rPr>
          <w:rFonts w:ascii="Lato" w:hAnsi="Lato"/>
          <w:color w:val="595959" w:themeColor="text1" w:themeTint="A6"/>
          <w:sz w:val="22"/>
          <w:szCs w:val="22"/>
          <w:lang w:val="es-ES"/>
        </w:rPr>
        <w:t>FINANP II, a cargo de FMCN</w:t>
      </w:r>
      <w:r>
        <w:rPr>
          <w:rFonts w:ascii="Lato" w:hAnsi="Lato"/>
          <w:color w:val="595959" w:themeColor="text1" w:themeTint="A6"/>
          <w:sz w:val="22"/>
          <w:szCs w:val="22"/>
          <w:lang w:val="es-ES"/>
        </w:rPr>
        <w:t>, apoyará la operación de tres</w:t>
      </w:r>
      <w:r w:rsidRPr="00740AFC">
        <w:rPr>
          <w:rFonts w:ascii="Lato" w:hAnsi="Lato"/>
          <w:color w:val="595959" w:themeColor="text1" w:themeTint="A6"/>
          <w:sz w:val="22"/>
          <w:szCs w:val="22"/>
          <w:lang w:val="es-ES"/>
        </w:rPr>
        <w:t xml:space="preserve"> ANP federales con una superficie de 22 millones de hectáreas, principalmente marinas, y que fueron seleccionadas conforme a criterios de conservación ecológica, valor socioeconómico, así como los riesgos y amenazas que enfrentan. Las ANP son la RB Caribe Mexicano, Parque Nacional Revillagigedo y RB Islas del Pacífico de la Península de Baja California. El fortalecimiento a la operación de estas ANP es a través del mecanismo del Fondo para Áreas Naturales Protegidas, basado en el financiamiento de acciones de conservación basadas en una planeación estratégica a cinco años.</w:t>
      </w:r>
    </w:p>
    <w:p w:rsidR="00C90843" w:rsidRPr="00740AFC" w:rsidRDefault="00C90843" w:rsidP="00C90843">
      <w:pPr>
        <w:spacing w:beforeLines="24" w:before="57" w:afterLines="24" w:after="57" w:line="288" w:lineRule="auto"/>
        <w:jc w:val="both"/>
        <w:rPr>
          <w:rFonts w:ascii="Lato" w:hAnsi="Lato"/>
          <w:color w:val="595959" w:themeColor="text1" w:themeTint="A6"/>
          <w:sz w:val="22"/>
          <w:szCs w:val="22"/>
          <w:lang w:val="es-ES"/>
        </w:rPr>
      </w:pPr>
    </w:p>
    <w:p w:rsidR="00C90843" w:rsidRPr="00740AFC" w:rsidRDefault="00C90843" w:rsidP="00C90843">
      <w:pPr>
        <w:spacing w:beforeLines="24" w:before="57" w:afterLines="24" w:after="57" w:line="288" w:lineRule="auto"/>
        <w:jc w:val="both"/>
        <w:rPr>
          <w:rFonts w:ascii="Lato" w:hAnsi="Lato"/>
          <w:color w:val="595959" w:themeColor="text1" w:themeTint="A6"/>
          <w:sz w:val="22"/>
          <w:szCs w:val="22"/>
          <w:lang w:val="es-ES"/>
        </w:rPr>
      </w:pPr>
      <w:r w:rsidRPr="00740AFC">
        <w:rPr>
          <w:rFonts w:ascii="Lato" w:hAnsi="Lato"/>
          <w:color w:val="595959" w:themeColor="text1" w:themeTint="A6"/>
          <w:sz w:val="22"/>
          <w:szCs w:val="22"/>
          <w:lang w:val="es-ES"/>
        </w:rPr>
        <w:lastRenderedPageBreak/>
        <w:t>El Contrato de Aporte Financiero y Acuerdo Separado firmados entre FMCN y KfW, y el Convenio de Concertació</w:t>
      </w:r>
      <w:r>
        <w:rPr>
          <w:rFonts w:ascii="Lato" w:hAnsi="Lato"/>
          <w:color w:val="595959" w:themeColor="text1" w:themeTint="A6"/>
          <w:sz w:val="22"/>
          <w:szCs w:val="22"/>
          <w:lang w:val="es-ES"/>
        </w:rPr>
        <w:t>n firmado entre FMCN y la Conanp</w:t>
      </w:r>
      <w:r w:rsidRPr="00740AFC">
        <w:rPr>
          <w:rFonts w:ascii="Lato" w:hAnsi="Lato"/>
          <w:color w:val="595959" w:themeColor="text1" w:themeTint="A6"/>
          <w:sz w:val="22"/>
          <w:szCs w:val="22"/>
          <w:lang w:val="es-ES"/>
        </w:rPr>
        <w:t xml:space="preserve"> describen las responsabilidades y obligaciones de cada institución para la implementación del programa.</w:t>
      </w:r>
    </w:p>
    <w:p w:rsidR="00C90843" w:rsidRPr="00740AFC" w:rsidRDefault="00C90843" w:rsidP="00C90843">
      <w:pPr>
        <w:spacing w:beforeLines="24" w:before="57" w:afterLines="24" w:after="57" w:line="288" w:lineRule="auto"/>
        <w:jc w:val="both"/>
        <w:rPr>
          <w:rFonts w:ascii="Lato" w:hAnsi="Lato"/>
          <w:color w:val="595959" w:themeColor="text1" w:themeTint="A6"/>
          <w:sz w:val="22"/>
          <w:szCs w:val="22"/>
          <w:lang w:val="es-ES"/>
        </w:rPr>
      </w:pPr>
    </w:p>
    <w:p w:rsidR="00C90843" w:rsidRDefault="00C90843" w:rsidP="00C90843">
      <w:pPr>
        <w:spacing w:beforeLines="24" w:before="57" w:afterLines="24" w:after="57" w:line="288" w:lineRule="auto"/>
        <w:jc w:val="both"/>
        <w:rPr>
          <w:rFonts w:ascii="Lato" w:hAnsi="Lato"/>
          <w:color w:val="595959" w:themeColor="text1" w:themeTint="A6"/>
          <w:sz w:val="22"/>
          <w:szCs w:val="22"/>
          <w:lang w:val="es-ES"/>
        </w:rPr>
      </w:pPr>
      <w:r w:rsidRPr="00740AFC">
        <w:rPr>
          <w:rFonts w:ascii="Lato" w:hAnsi="Lato"/>
          <w:color w:val="595959" w:themeColor="text1" w:themeTint="A6"/>
          <w:sz w:val="22"/>
          <w:szCs w:val="22"/>
          <w:lang w:val="es-ES"/>
        </w:rPr>
        <w:t>Por su parte, FINANP I estará cargo de proveer equipamiento e infraestructura a estas ANP y fortalecerá al Centro de Capacitación de Guardaparques ubicado en la RB Isla Marías.  Además, apoyará a otras modalidades innovadoras de gestión integral del territorio de acuerdo a criterios de elegibilidad relevantes para la conectividad.</w:t>
      </w:r>
    </w:p>
    <w:p w:rsidR="00C90843" w:rsidRDefault="00C90843" w:rsidP="00C90843">
      <w:pPr>
        <w:spacing w:beforeLines="24" w:before="57" w:afterLines="24" w:after="57" w:line="288" w:lineRule="auto"/>
        <w:jc w:val="both"/>
        <w:rPr>
          <w:rFonts w:ascii="Lato" w:hAnsi="Lato"/>
          <w:color w:val="595959" w:themeColor="text1" w:themeTint="A6"/>
          <w:sz w:val="22"/>
          <w:szCs w:val="22"/>
          <w:lang w:val="es-ES"/>
        </w:rPr>
      </w:pPr>
    </w:p>
    <w:p w:rsidR="00C90843" w:rsidRPr="00676AC7" w:rsidRDefault="00C90843" w:rsidP="00C90843">
      <w:pPr>
        <w:pStyle w:val="Ttulo1"/>
        <w:spacing w:beforeLines="24" w:before="57" w:afterLines="24" w:after="57" w:line="288" w:lineRule="auto"/>
        <w:jc w:val="both"/>
        <w:rPr>
          <w:rFonts w:ascii="Lato" w:hAnsi="Lato"/>
          <w:color w:val="595959" w:themeColor="text1" w:themeTint="A6"/>
          <w:sz w:val="22"/>
          <w:szCs w:val="22"/>
          <w:lang w:val="es-ES"/>
        </w:rPr>
      </w:pPr>
      <w:bookmarkStart w:id="35" w:name="_Toc95218418"/>
      <w:bookmarkStart w:id="36" w:name="_Toc159420263"/>
      <w:r>
        <w:rPr>
          <w:rFonts w:ascii="Lato" w:hAnsi="Lato"/>
          <w:color w:val="595959" w:themeColor="text1" w:themeTint="A6"/>
          <w:sz w:val="22"/>
          <w:szCs w:val="22"/>
        </w:rPr>
        <w:t>A1.10. Cuenca de los Ojos</w:t>
      </w:r>
      <w:bookmarkEnd w:id="35"/>
      <w:bookmarkEnd w:id="36"/>
    </w:p>
    <w:p w:rsidR="00C90843" w:rsidRPr="00D377A2" w:rsidRDefault="00C90843" w:rsidP="00C90843">
      <w:pPr>
        <w:spacing w:beforeLines="24" w:before="57" w:afterLines="24" w:after="57" w:line="288" w:lineRule="auto"/>
        <w:jc w:val="both"/>
        <w:rPr>
          <w:rFonts w:ascii="Lato" w:hAnsi="Lato"/>
          <w:b/>
        </w:rPr>
      </w:pPr>
    </w:p>
    <w:p w:rsidR="00C90843" w:rsidRPr="00740AFC" w:rsidRDefault="00C90843" w:rsidP="00C90843">
      <w:pPr>
        <w:spacing w:beforeLines="24" w:before="57" w:afterLines="24" w:after="57" w:line="288" w:lineRule="auto"/>
        <w:jc w:val="both"/>
        <w:rPr>
          <w:rFonts w:ascii="Lato" w:hAnsi="Lato"/>
          <w:color w:val="595959" w:themeColor="text1" w:themeTint="A6"/>
          <w:sz w:val="22"/>
          <w:szCs w:val="22"/>
          <w:lang w:val="es-ES"/>
        </w:rPr>
      </w:pPr>
      <w:r w:rsidRPr="00740AFC">
        <w:rPr>
          <w:rFonts w:ascii="Lato" w:hAnsi="Lato"/>
          <w:color w:val="595959" w:themeColor="text1" w:themeTint="A6"/>
          <w:sz w:val="22"/>
          <w:szCs w:val="22"/>
          <w:lang w:val="es-ES"/>
        </w:rPr>
        <w:t xml:space="preserve">La región de la Sierra Madre Occidental que abarca el noreste de Sonora, México, y colinda con la frontera sur de Arizona en Estados Unidos de América es reconocida a nivel mundial como centro de biodiversidad. Representa un corredor biológico binacional clave para muchas especies de fauna silvestre nativas y migratorias, varias amenazadas o en peligro de extinción. La Señora Anna Valer Clark y su familia, a través de su organización Cuenca de Los Ojos, A.C. (CLO), ha dedicado los últimos 40 años a la restauración y protección de esos extraordinarios ecosistemas mexicanos. Gracias a su labor, se han restaurado más de 53,000 hectáreas de pastizal y matorral nativos, y se han recuperado importantes humedales. Este territorio es conservado a través de nueve propiedades bajo la custodia de CLO en el noreste de Sonora. </w:t>
      </w:r>
    </w:p>
    <w:p w:rsidR="00C90843" w:rsidRPr="00740AFC" w:rsidRDefault="00C90843" w:rsidP="00C90843">
      <w:pPr>
        <w:spacing w:beforeLines="24" w:before="57" w:afterLines="24" w:after="57" w:line="288" w:lineRule="auto"/>
        <w:jc w:val="both"/>
        <w:rPr>
          <w:rFonts w:ascii="Lato" w:hAnsi="Lato"/>
          <w:color w:val="595959" w:themeColor="text1" w:themeTint="A6"/>
          <w:sz w:val="22"/>
          <w:szCs w:val="22"/>
          <w:lang w:val="es-ES"/>
        </w:rPr>
      </w:pPr>
    </w:p>
    <w:p w:rsidR="00C90843" w:rsidRPr="00740AFC" w:rsidRDefault="00C90843" w:rsidP="00C90843">
      <w:pPr>
        <w:spacing w:beforeLines="24" w:before="57" w:afterLines="24" w:after="57" w:line="288" w:lineRule="auto"/>
        <w:jc w:val="both"/>
        <w:rPr>
          <w:rFonts w:ascii="Lato" w:hAnsi="Lato"/>
          <w:color w:val="595959" w:themeColor="text1" w:themeTint="A6"/>
          <w:sz w:val="22"/>
          <w:szCs w:val="22"/>
          <w:lang w:val="es-ES"/>
        </w:rPr>
      </w:pPr>
      <w:r w:rsidRPr="00740AFC">
        <w:rPr>
          <w:rFonts w:ascii="Lato" w:hAnsi="Lato"/>
          <w:color w:val="595959" w:themeColor="text1" w:themeTint="A6"/>
          <w:sz w:val="22"/>
          <w:szCs w:val="22"/>
          <w:lang w:val="es-ES"/>
        </w:rPr>
        <w:t>FMCN, la Fundación Wyss y CLO han convenido una colaboración en la que Wyss aporta 10 millones de dólares patrimoniales para la administración</w:t>
      </w:r>
      <w:r>
        <w:rPr>
          <w:rFonts w:ascii="Lato" w:hAnsi="Lato"/>
          <w:color w:val="595959" w:themeColor="text1" w:themeTint="A6"/>
          <w:sz w:val="22"/>
          <w:szCs w:val="22"/>
          <w:lang w:val="es-ES"/>
        </w:rPr>
        <w:t xml:space="preserve"> de nueve propiedades</w:t>
      </w:r>
      <w:r w:rsidRPr="00740AFC">
        <w:rPr>
          <w:rFonts w:ascii="Lato" w:hAnsi="Lato"/>
          <w:color w:val="595959" w:themeColor="text1" w:themeTint="A6"/>
          <w:sz w:val="22"/>
          <w:szCs w:val="22"/>
          <w:lang w:val="es-ES"/>
        </w:rPr>
        <w:t xml:space="preserve"> como Áreas Destinadas Voluntariamente a la Conservación (ADVC) y FMCN contribuye con una contrapartida de 2 millones de dólares etiquetada para acciones de conservación en territorio aledaño a la Cuenca del Río San Pedro. </w:t>
      </w:r>
    </w:p>
    <w:p w:rsidR="00C90843" w:rsidRPr="00740AFC" w:rsidRDefault="00C90843" w:rsidP="00C90843">
      <w:pPr>
        <w:spacing w:beforeLines="24" w:before="57" w:afterLines="24" w:after="57" w:line="288" w:lineRule="auto"/>
        <w:jc w:val="both"/>
        <w:rPr>
          <w:rFonts w:ascii="Lato" w:hAnsi="Lato"/>
          <w:color w:val="595959" w:themeColor="text1" w:themeTint="A6"/>
          <w:sz w:val="22"/>
          <w:szCs w:val="22"/>
          <w:lang w:val="es-ES"/>
        </w:rPr>
      </w:pPr>
    </w:p>
    <w:p w:rsidR="00C90843" w:rsidRPr="00740AFC" w:rsidRDefault="00C90843" w:rsidP="00C90843">
      <w:pPr>
        <w:spacing w:beforeLines="24" w:before="57" w:afterLines="24" w:after="57" w:line="288" w:lineRule="auto"/>
        <w:jc w:val="both"/>
        <w:rPr>
          <w:rFonts w:ascii="Lato" w:hAnsi="Lato"/>
          <w:color w:val="595959" w:themeColor="text1" w:themeTint="A6"/>
          <w:sz w:val="22"/>
          <w:szCs w:val="22"/>
          <w:lang w:val="es-ES"/>
        </w:rPr>
      </w:pPr>
      <w:r w:rsidRPr="00740AFC">
        <w:rPr>
          <w:rFonts w:ascii="Lato" w:hAnsi="Lato"/>
          <w:color w:val="595959" w:themeColor="text1" w:themeTint="A6"/>
          <w:sz w:val="22"/>
          <w:szCs w:val="22"/>
          <w:lang w:val="es-ES"/>
        </w:rPr>
        <w:t xml:space="preserve">La colaboración fue formalizada entre la Fundación Wyss, FMCN y CLO a través de la firma de un convenio el 1 de febrero de 2021. Para asegurar el objeto de conservación de las propiedades, CLO y FMCN firmaron nueve contratos con los fideicomisos de cada uno de los ranchos. Además, el proyecto cuenta con un Comité Técnico que supervisa el POA de acuerdo a un Plan de Gestión con una visión de más largo plazo, que asegura la conservación de los recursos naturales de las nueve propiedades. Este Comité está conformado por cuatro </w:t>
      </w:r>
      <w:r w:rsidRPr="00740AFC">
        <w:rPr>
          <w:rFonts w:ascii="Lato" w:hAnsi="Lato"/>
          <w:color w:val="595959" w:themeColor="text1" w:themeTint="A6"/>
          <w:sz w:val="22"/>
          <w:szCs w:val="22"/>
          <w:lang w:val="es-ES"/>
        </w:rPr>
        <w:lastRenderedPageBreak/>
        <w:t xml:space="preserve">personas de FMCN (dos de ellas nombradas por solicitud de la Fundación Wyss) y dos por parte de CLO. </w:t>
      </w:r>
    </w:p>
    <w:p w:rsidR="00C90843" w:rsidRPr="00740AFC" w:rsidRDefault="00C90843" w:rsidP="00C90843">
      <w:pPr>
        <w:spacing w:beforeLines="24" w:before="57" w:afterLines="24" w:after="57" w:line="288" w:lineRule="auto"/>
        <w:jc w:val="both"/>
        <w:rPr>
          <w:rFonts w:ascii="Lato" w:hAnsi="Lato"/>
          <w:color w:val="595959" w:themeColor="text1" w:themeTint="A6"/>
          <w:sz w:val="22"/>
          <w:szCs w:val="22"/>
          <w:lang w:val="es-ES"/>
        </w:rPr>
      </w:pPr>
    </w:p>
    <w:p w:rsidR="00C90843" w:rsidRPr="00982E7B" w:rsidRDefault="00C90843" w:rsidP="00C90843">
      <w:pPr>
        <w:spacing w:beforeLines="24" w:before="57" w:afterLines="24" w:after="57" w:line="288" w:lineRule="auto"/>
        <w:jc w:val="both"/>
        <w:rPr>
          <w:rFonts w:ascii="Lato" w:hAnsi="Lato"/>
          <w:color w:val="595959" w:themeColor="text1" w:themeTint="A6"/>
          <w:sz w:val="22"/>
          <w:szCs w:val="22"/>
          <w:lang w:val="es-ES"/>
        </w:rPr>
      </w:pPr>
      <w:r w:rsidRPr="00740AFC">
        <w:rPr>
          <w:rFonts w:ascii="Lato" w:hAnsi="Lato"/>
          <w:color w:val="595959" w:themeColor="text1" w:themeTint="A6"/>
          <w:sz w:val="22"/>
          <w:szCs w:val="22"/>
          <w:lang w:val="es-ES"/>
        </w:rPr>
        <w:t xml:space="preserve">FMCN está a cargo del manejo financiero del patrimonio y canaliza los rendimientos anuales que financian, a partir del segundo semestre de 2021, el Plan Anual Operativo (POA) de las propiedades de CLO </w:t>
      </w:r>
      <w:r>
        <w:rPr>
          <w:rFonts w:ascii="Lato" w:hAnsi="Lato"/>
          <w:color w:val="595959" w:themeColor="text1" w:themeTint="A6"/>
          <w:sz w:val="22"/>
          <w:szCs w:val="22"/>
          <w:lang w:val="es-ES"/>
        </w:rPr>
        <w:t>como resultado</w:t>
      </w:r>
      <w:r w:rsidRPr="00740AFC">
        <w:rPr>
          <w:rFonts w:ascii="Lato" w:hAnsi="Lato"/>
          <w:color w:val="595959" w:themeColor="text1" w:themeTint="A6"/>
          <w:sz w:val="22"/>
          <w:szCs w:val="22"/>
          <w:lang w:val="es-ES"/>
        </w:rPr>
        <w:t xml:space="preserve"> de una planeación estratégica a cinco años. FMCN y CLO celebran contratos de donativo anuales para operar dicho POA.  Los rendimientos del patrimonio aportado por la Fundación Wyss son utilizados para cubrir los costos de mantenimiento y administración de las propiedades, mientras que los rendimientos de la contrapartida de FMCN son dirigidos a actividades de restauración de pastizales, monitoreo de flora y fauna, manejo del fuego y educación ambiental. </w:t>
      </w:r>
      <w:r>
        <w:rPr>
          <w:rFonts w:ascii="Lato" w:hAnsi="Lato" w:cs="Arial"/>
          <w:shd w:val="clear" w:color="auto" w:fill="FFFFFF"/>
        </w:rPr>
        <w:tab/>
      </w:r>
      <w:bookmarkStart w:id="37" w:name="_Toc95218419"/>
    </w:p>
    <w:p w:rsidR="00C90843" w:rsidRPr="00740AFC" w:rsidRDefault="00C90843" w:rsidP="00C90843">
      <w:pPr>
        <w:pStyle w:val="Ttulo1"/>
        <w:spacing w:beforeLines="24" w:before="57" w:afterLines="24" w:after="57" w:line="288" w:lineRule="auto"/>
        <w:jc w:val="both"/>
        <w:rPr>
          <w:rFonts w:ascii="Lato" w:hAnsi="Lato"/>
          <w:color w:val="595959" w:themeColor="text1" w:themeTint="A6"/>
          <w:sz w:val="22"/>
          <w:szCs w:val="22"/>
        </w:rPr>
      </w:pPr>
      <w:bookmarkStart w:id="38" w:name="_Toc159420264"/>
      <w:r>
        <w:rPr>
          <w:rFonts w:ascii="Lato" w:hAnsi="Lato"/>
          <w:color w:val="595959" w:themeColor="text1" w:themeTint="A6"/>
          <w:sz w:val="22"/>
          <w:szCs w:val="22"/>
        </w:rPr>
        <w:t xml:space="preserve">A1.11. </w:t>
      </w:r>
      <w:r w:rsidRPr="00740AFC">
        <w:rPr>
          <w:rFonts w:ascii="Lato" w:hAnsi="Lato"/>
          <w:color w:val="595959" w:themeColor="text1" w:themeTint="A6"/>
          <w:sz w:val="22"/>
          <w:szCs w:val="22"/>
        </w:rPr>
        <w:t>Rancho el Uno</w:t>
      </w:r>
      <w:bookmarkEnd w:id="37"/>
      <w:bookmarkEnd w:id="38"/>
    </w:p>
    <w:p w:rsidR="00C90843" w:rsidRPr="00D377A2" w:rsidRDefault="00C90843" w:rsidP="00C90843">
      <w:pPr>
        <w:spacing w:beforeLines="24" w:before="57" w:afterLines="24" w:after="57" w:line="288" w:lineRule="auto"/>
        <w:jc w:val="both"/>
        <w:rPr>
          <w:rFonts w:ascii="Lato" w:hAnsi="Lato"/>
          <w:b/>
        </w:rPr>
      </w:pPr>
    </w:p>
    <w:p w:rsidR="00C90843" w:rsidRPr="00740AFC" w:rsidRDefault="00C90843" w:rsidP="00C90843">
      <w:pPr>
        <w:spacing w:beforeLines="24" w:before="57" w:afterLines="24" w:after="57" w:line="288" w:lineRule="auto"/>
        <w:jc w:val="both"/>
        <w:rPr>
          <w:rFonts w:ascii="Lato" w:hAnsi="Lato"/>
          <w:color w:val="595959" w:themeColor="text1" w:themeTint="A6"/>
          <w:sz w:val="22"/>
          <w:szCs w:val="22"/>
          <w:lang w:val="es-ES"/>
        </w:rPr>
      </w:pPr>
      <w:r w:rsidRPr="00740AFC">
        <w:rPr>
          <w:rFonts w:ascii="Lato" w:hAnsi="Lato"/>
          <w:color w:val="595959" w:themeColor="text1" w:themeTint="A6"/>
          <w:sz w:val="22"/>
          <w:szCs w:val="22"/>
          <w:lang w:val="es-ES"/>
        </w:rPr>
        <w:t>El Rancho el Uno (ReU) ha operado como reserva natural para la conservación de los pastizales del Desierto Chihuahuense en los últimos 15 años; abarca 18,546 hectáreas en el corazón de la Reserva de la Biosfera Janos. El ReU representa uno de los sitios más importantes del continente para especies de aves migratorias y otras emblemáticas como el bisonte americano, el perrito de la pradera cola negra y el águila real; el ReU es una pieza clave para mantener la funcionalidad del corredor biológico binacional que conecta las grandes planicies en Estados Unidos con las del altiplano mexicano.</w:t>
      </w:r>
    </w:p>
    <w:p w:rsidR="00C90843" w:rsidRPr="00740AFC" w:rsidRDefault="00C90843" w:rsidP="00C90843">
      <w:pPr>
        <w:spacing w:beforeLines="24" w:before="57" w:afterLines="24" w:after="57" w:line="288" w:lineRule="auto"/>
        <w:jc w:val="both"/>
        <w:rPr>
          <w:rFonts w:ascii="Lato" w:hAnsi="Lato"/>
          <w:color w:val="595959" w:themeColor="text1" w:themeTint="A6"/>
          <w:sz w:val="22"/>
          <w:szCs w:val="22"/>
          <w:lang w:val="es-ES"/>
        </w:rPr>
      </w:pPr>
    </w:p>
    <w:p w:rsidR="00C90843" w:rsidRPr="00740AFC" w:rsidRDefault="00C90843" w:rsidP="00C90843">
      <w:pPr>
        <w:spacing w:beforeLines="24" w:before="57" w:afterLines="24" w:after="57" w:line="288" w:lineRule="auto"/>
        <w:jc w:val="both"/>
        <w:rPr>
          <w:rFonts w:ascii="Lato" w:hAnsi="Lato"/>
          <w:color w:val="595959" w:themeColor="text1" w:themeTint="A6"/>
          <w:sz w:val="22"/>
          <w:szCs w:val="22"/>
          <w:lang w:val="es-ES"/>
        </w:rPr>
      </w:pPr>
      <w:r w:rsidRPr="00740AFC">
        <w:rPr>
          <w:rFonts w:ascii="Lato" w:hAnsi="Lato"/>
          <w:color w:val="595959" w:themeColor="text1" w:themeTint="A6"/>
          <w:sz w:val="22"/>
          <w:szCs w:val="22"/>
          <w:lang w:val="es-ES"/>
        </w:rPr>
        <w:t xml:space="preserve">En 2018, FMCN recibió la propiedad en donación por parte de </w:t>
      </w:r>
      <w:r w:rsidRPr="001B7A0B">
        <w:rPr>
          <w:rFonts w:ascii="Lato" w:hAnsi="Lato"/>
          <w:i/>
          <w:color w:val="595959" w:themeColor="text1" w:themeTint="A6"/>
          <w:sz w:val="22"/>
          <w:szCs w:val="22"/>
          <w:lang w:val="es-ES"/>
        </w:rPr>
        <w:t>The Nature Conservancy</w:t>
      </w:r>
      <w:r w:rsidRPr="00740AFC">
        <w:rPr>
          <w:rFonts w:ascii="Lato" w:hAnsi="Lato"/>
          <w:color w:val="595959" w:themeColor="text1" w:themeTint="A6"/>
          <w:sz w:val="22"/>
          <w:szCs w:val="22"/>
          <w:lang w:val="es-ES"/>
        </w:rPr>
        <w:t xml:space="preserve"> con el compromiso de asegurar la conservación de su capital natural a perpetuidad, a través de la recuperación y conservación de pastizales y el manejo integral de ranchos. Durante estos años, FMCN ha aprovechado su experiencia en manejo financiero y recaudación, junto con la de otras organizaciones en la operación de ranchos, manejo de bisontes, ganadería regenerativa y restauración de pastizales para cumplir con el objetivo de conservación del ReU.</w:t>
      </w:r>
    </w:p>
    <w:p w:rsidR="00C90843" w:rsidRPr="00740AFC" w:rsidRDefault="00C90843" w:rsidP="00C90843">
      <w:pPr>
        <w:spacing w:beforeLines="24" w:before="57" w:afterLines="24" w:after="57" w:line="288" w:lineRule="auto"/>
        <w:jc w:val="both"/>
        <w:rPr>
          <w:rFonts w:ascii="Lato" w:hAnsi="Lato"/>
          <w:color w:val="595959" w:themeColor="text1" w:themeTint="A6"/>
          <w:sz w:val="22"/>
          <w:szCs w:val="22"/>
          <w:lang w:val="es-ES"/>
        </w:rPr>
      </w:pPr>
    </w:p>
    <w:p w:rsidR="00C90843" w:rsidRPr="00740AFC" w:rsidRDefault="00C90843" w:rsidP="00C90843">
      <w:pPr>
        <w:spacing w:beforeLines="24" w:before="57" w:afterLines="24" w:after="57" w:line="288" w:lineRule="auto"/>
        <w:jc w:val="both"/>
        <w:rPr>
          <w:rFonts w:ascii="Lato" w:hAnsi="Lato"/>
          <w:color w:val="595959" w:themeColor="text1" w:themeTint="A6"/>
          <w:sz w:val="22"/>
          <w:szCs w:val="22"/>
          <w:lang w:val="es-ES"/>
        </w:rPr>
      </w:pPr>
      <w:r w:rsidRPr="00740AFC">
        <w:rPr>
          <w:rFonts w:ascii="Lato" w:hAnsi="Lato"/>
          <w:color w:val="595959" w:themeColor="text1" w:themeTint="A6"/>
          <w:sz w:val="22"/>
          <w:szCs w:val="22"/>
          <w:lang w:val="es-ES"/>
        </w:rPr>
        <w:t>En México, gracias a un gran esfuerzo multi-institucional, se ha logrado avanzar en la recuperación del bisonte americano (</w:t>
      </w:r>
      <w:r w:rsidRPr="001121AC">
        <w:rPr>
          <w:rFonts w:ascii="Lato" w:hAnsi="Lato"/>
          <w:i/>
          <w:color w:val="595959" w:themeColor="text1" w:themeTint="A6"/>
          <w:sz w:val="22"/>
          <w:szCs w:val="22"/>
          <w:lang w:val="es-ES"/>
        </w:rPr>
        <w:t>Bison bison</w:t>
      </w:r>
      <w:r w:rsidRPr="00740AFC">
        <w:rPr>
          <w:rFonts w:ascii="Lato" w:hAnsi="Lato"/>
          <w:color w:val="595959" w:themeColor="text1" w:themeTint="A6"/>
          <w:sz w:val="22"/>
          <w:szCs w:val="22"/>
          <w:lang w:val="es-ES"/>
        </w:rPr>
        <w:t xml:space="preserve">) en estado silvestre. En 2009, se reintrodujeron en el ReU 23 bisontes provenientes de manadas de conservación de Dakota del Sur, Estados Unidos, y en 2018, cuando el REU pasó a resguardo de FMCN la manada era de 230 individuos, hoy es de 290, lo cual requiere de un manejo apto para mantener la </w:t>
      </w:r>
      <w:r w:rsidRPr="00740AFC">
        <w:rPr>
          <w:rFonts w:ascii="Lato" w:hAnsi="Lato"/>
          <w:color w:val="595959" w:themeColor="text1" w:themeTint="A6"/>
          <w:sz w:val="22"/>
          <w:szCs w:val="22"/>
          <w:lang w:val="es-ES"/>
        </w:rPr>
        <w:lastRenderedPageBreak/>
        <w:t>salud y viabilidad de la población de bisontes. En noviembre del 2019, se trasladaron 19 bisontes del REU a las planicies de Coahuila en la Reserva Natural El Carmen, dentro del ANP Maderas del Carmen, en un esf</w:t>
      </w:r>
      <w:r>
        <w:rPr>
          <w:rFonts w:ascii="Lato" w:hAnsi="Lato"/>
          <w:color w:val="595959" w:themeColor="text1" w:themeTint="A6"/>
          <w:sz w:val="22"/>
          <w:szCs w:val="22"/>
          <w:lang w:val="es-ES"/>
        </w:rPr>
        <w:t>uerzo coordinado entre la Conanp</w:t>
      </w:r>
      <w:r w:rsidRPr="00740AFC">
        <w:rPr>
          <w:rFonts w:ascii="Lato" w:hAnsi="Lato"/>
          <w:color w:val="595959" w:themeColor="text1" w:themeTint="A6"/>
          <w:sz w:val="22"/>
          <w:szCs w:val="22"/>
          <w:lang w:val="es-ES"/>
        </w:rPr>
        <w:t>, la Dirección General de Vida S</w:t>
      </w:r>
      <w:r>
        <w:rPr>
          <w:rFonts w:ascii="Lato" w:hAnsi="Lato"/>
          <w:color w:val="595959" w:themeColor="text1" w:themeTint="A6"/>
          <w:sz w:val="22"/>
          <w:szCs w:val="22"/>
          <w:lang w:val="es-ES"/>
        </w:rPr>
        <w:t xml:space="preserve">ilvestre de la </w:t>
      </w:r>
      <w:r w:rsidRPr="00391C24">
        <w:rPr>
          <w:rFonts w:ascii="Lato" w:hAnsi="Lato"/>
          <w:color w:val="595959" w:themeColor="text1" w:themeTint="A6"/>
          <w:sz w:val="22"/>
          <w:szCs w:val="22"/>
          <w:lang w:val="es-ES"/>
        </w:rPr>
        <w:t>Semarnat</w:t>
      </w:r>
      <w:r w:rsidRPr="00740AFC">
        <w:rPr>
          <w:rFonts w:ascii="Lato" w:hAnsi="Lato"/>
          <w:color w:val="595959" w:themeColor="text1" w:themeTint="A6"/>
          <w:sz w:val="22"/>
          <w:szCs w:val="22"/>
          <w:lang w:val="es-ES"/>
        </w:rPr>
        <w:t>, CEMEX, AES México y FMCN.</w:t>
      </w:r>
    </w:p>
    <w:p w:rsidR="00C90843" w:rsidRPr="00740AFC" w:rsidRDefault="00C90843" w:rsidP="00C90843">
      <w:pPr>
        <w:spacing w:beforeLines="24" w:before="57" w:afterLines="24" w:after="57" w:line="288" w:lineRule="auto"/>
        <w:jc w:val="both"/>
        <w:rPr>
          <w:rFonts w:ascii="Lato" w:hAnsi="Lato"/>
          <w:color w:val="595959" w:themeColor="text1" w:themeTint="A6"/>
          <w:sz w:val="22"/>
          <w:szCs w:val="22"/>
          <w:lang w:val="es-ES"/>
        </w:rPr>
      </w:pPr>
    </w:p>
    <w:p w:rsidR="00C90843" w:rsidRPr="00740AFC" w:rsidRDefault="00C90843" w:rsidP="00C90843">
      <w:pPr>
        <w:spacing w:beforeLines="24" w:before="57" w:afterLines="24" w:after="57" w:line="288" w:lineRule="auto"/>
        <w:jc w:val="both"/>
        <w:rPr>
          <w:rFonts w:ascii="Lato" w:hAnsi="Lato"/>
          <w:color w:val="595959" w:themeColor="text1" w:themeTint="A6"/>
          <w:sz w:val="22"/>
          <w:szCs w:val="22"/>
          <w:lang w:val="es-ES"/>
        </w:rPr>
      </w:pPr>
      <w:r w:rsidRPr="00740AFC">
        <w:rPr>
          <w:rFonts w:ascii="Lato" w:hAnsi="Lato"/>
          <w:color w:val="595959" w:themeColor="text1" w:themeTint="A6"/>
          <w:sz w:val="22"/>
          <w:szCs w:val="22"/>
          <w:lang w:val="es-ES"/>
        </w:rPr>
        <w:t>La operación y administración del ReU está a cargo de la organización CLO, quien ha dedicado los últimos 40 años a la restauración y protección de pastizales mexicanos del noreste de Sonora, además de contar con amplia experiencia en manejo regenerativo de ranchos, ejemplo de ello son las nueve propiedades que tienen bajo su custodia en el noreste de Sonora. La colaboración entre CLO y FMCN para la conservación del ReU está formalizada a través de un contrato de donación que es renovado año con año.</w:t>
      </w:r>
    </w:p>
    <w:p w:rsidR="00C90843" w:rsidRDefault="00C90843" w:rsidP="00C90843">
      <w:pPr>
        <w:spacing w:beforeLines="24" w:before="57" w:afterLines="24" w:after="57" w:line="288" w:lineRule="auto"/>
        <w:jc w:val="both"/>
      </w:pPr>
    </w:p>
    <w:p w:rsidR="00C90843" w:rsidRPr="00EC2248" w:rsidRDefault="00C90843" w:rsidP="00C90843">
      <w:pPr>
        <w:pStyle w:val="Ttulo1"/>
        <w:spacing w:beforeLines="24" w:before="57" w:afterLines="24" w:after="57" w:line="288" w:lineRule="auto"/>
        <w:jc w:val="both"/>
        <w:rPr>
          <w:rFonts w:ascii="Lato" w:hAnsi="Lato"/>
          <w:color w:val="595959" w:themeColor="text1" w:themeTint="A6"/>
          <w:sz w:val="22"/>
          <w:szCs w:val="22"/>
          <w:lang w:val="es-ES"/>
        </w:rPr>
      </w:pPr>
      <w:bookmarkStart w:id="39" w:name="_Toc95218420"/>
      <w:bookmarkStart w:id="40" w:name="_Toc159420265"/>
      <w:r>
        <w:rPr>
          <w:rFonts w:ascii="Lato" w:hAnsi="Lato"/>
          <w:color w:val="595959" w:themeColor="text1" w:themeTint="A6"/>
          <w:sz w:val="22"/>
          <w:szCs w:val="22"/>
          <w:lang w:val="es-ES"/>
        </w:rPr>
        <w:t>A1.12</w:t>
      </w:r>
      <w:r w:rsidRPr="00EC2248">
        <w:rPr>
          <w:rFonts w:ascii="Lato" w:hAnsi="Lato"/>
          <w:color w:val="595959" w:themeColor="text1" w:themeTint="A6"/>
          <w:sz w:val="22"/>
          <w:szCs w:val="22"/>
          <w:lang w:val="es-ES"/>
        </w:rPr>
        <w:t>. Fondo para el Manejo del Fuego y Restauración</w:t>
      </w:r>
      <w:bookmarkEnd w:id="39"/>
      <w:bookmarkEnd w:id="40"/>
    </w:p>
    <w:p w:rsidR="00C90843"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p>
    <w:p w:rsidR="00C90843"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sidRPr="00EC2248">
        <w:rPr>
          <w:rFonts w:ascii="Lato" w:hAnsi="Lato"/>
          <w:color w:val="595959" w:themeColor="text1" w:themeTint="A6"/>
          <w:sz w:val="22"/>
          <w:szCs w:val="22"/>
          <w:lang w:val="es-ES"/>
        </w:rPr>
        <w:t>Desde 1998 FMCN opera una estrategia de apoyo para mejorar las tareas de prevención contra incendios, manejo de</w:t>
      </w:r>
      <w:r>
        <w:rPr>
          <w:rFonts w:ascii="Lato" w:hAnsi="Lato"/>
          <w:color w:val="595959" w:themeColor="text1" w:themeTint="A6"/>
          <w:sz w:val="22"/>
          <w:szCs w:val="22"/>
          <w:lang w:val="es-ES"/>
        </w:rPr>
        <w:t xml:space="preserve">l fuego y restauración de tierras </w:t>
      </w:r>
      <w:r w:rsidRPr="00EC2248">
        <w:rPr>
          <w:rFonts w:ascii="Lato" w:hAnsi="Lato"/>
          <w:color w:val="595959" w:themeColor="text1" w:themeTint="A6"/>
          <w:sz w:val="22"/>
          <w:szCs w:val="22"/>
          <w:lang w:val="es-ES"/>
        </w:rPr>
        <w:t>quemadas en áreas de conservación. Esta iniciativa fortalece la participación de comunidades rurales, organizac</w:t>
      </w:r>
      <w:r>
        <w:rPr>
          <w:rFonts w:ascii="Lato" w:hAnsi="Lato"/>
          <w:color w:val="595959" w:themeColor="text1" w:themeTint="A6"/>
          <w:sz w:val="22"/>
          <w:szCs w:val="22"/>
          <w:lang w:val="es-ES"/>
        </w:rPr>
        <w:t>iones de la sociedad civil</w:t>
      </w:r>
      <w:r w:rsidRPr="00EC2248">
        <w:rPr>
          <w:rFonts w:ascii="Lato" w:hAnsi="Lato"/>
          <w:color w:val="595959" w:themeColor="text1" w:themeTint="A6"/>
          <w:sz w:val="22"/>
          <w:szCs w:val="22"/>
          <w:lang w:val="es-ES"/>
        </w:rPr>
        <w:t xml:space="preserve"> y entidades gubernamentales del orden federal y estatal.</w:t>
      </w:r>
    </w:p>
    <w:p w:rsidR="00C90843" w:rsidRPr="00EC2248"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sidRPr="00EC2248">
        <w:rPr>
          <w:rFonts w:ascii="Lato" w:hAnsi="Lato"/>
          <w:color w:val="595959" w:themeColor="text1" w:themeTint="A6"/>
          <w:sz w:val="22"/>
          <w:szCs w:val="22"/>
          <w:lang w:val="es-ES"/>
        </w:rPr>
        <w:t xml:space="preserve">En 2004, a partir de fondos patrimoniales propios, FMCN creó el </w:t>
      </w:r>
      <w:r>
        <w:rPr>
          <w:rFonts w:ascii="Lato" w:hAnsi="Lato"/>
          <w:color w:val="595959" w:themeColor="text1" w:themeTint="A6"/>
          <w:sz w:val="22"/>
          <w:szCs w:val="22"/>
          <w:lang w:val="es-ES"/>
        </w:rPr>
        <w:t>Fondo para el Manejo del Fuego y Restauración (</w:t>
      </w:r>
      <w:r w:rsidRPr="00EC2248">
        <w:rPr>
          <w:rFonts w:ascii="Lato" w:hAnsi="Lato"/>
          <w:color w:val="595959" w:themeColor="text1" w:themeTint="A6"/>
          <w:sz w:val="22"/>
          <w:szCs w:val="22"/>
          <w:lang w:val="es-ES"/>
        </w:rPr>
        <w:t>FOMAFUR</w:t>
      </w:r>
      <w:r>
        <w:rPr>
          <w:rFonts w:ascii="Lato" w:hAnsi="Lato"/>
          <w:color w:val="595959" w:themeColor="text1" w:themeTint="A6"/>
          <w:sz w:val="22"/>
          <w:szCs w:val="22"/>
          <w:lang w:val="es-ES"/>
        </w:rPr>
        <w:t>)</w:t>
      </w:r>
      <w:r w:rsidRPr="00EC2248">
        <w:rPr>
          <w:rFonts w:ascii="Lato" w:hAnsi="Lato"/>
          <w:color w:val="595959" w:themeColor="text1" w:themeTint="A6"/>
          <w:sz w:val="22"/>
          <w:szCs w:val="22"/>
          <w:lang w:val="es-ES"/>
        </w:rPr>
        <w:t>. Los intereses generados por este patrimonio sirven para financiar sub-proyectos encaminados a fortalecer las capacidades de las organizaciones civiles y</w:t>
      </w:r>
      <w:r>
        <w:rPr>
          <w:rFonts w:ascii="Lato" w:hAnsi="Lato"/>
          <w:color w:val="595959" w:themeColor="text1" w:themeTint="A6"/>
          <w:sz w:val="22"/>
          <w:szCs w:val="22"/>
          <w:lang w:val="es-ES"/>
        </w:rPr>
        <w:t xml:space="preserve"> comunitarias en la</w:t>
      </w:r>
      <w:r w:rsidRPr="00EC2248">
        <w:rPr>
          <w:rFonts w:ascii="Lato" w:hAnsi="Lato"/>
          <w:color w:val="595959" w:themeColor="text1" w:themeTint="A6"/>
          <w:sz w:val="22"/>
          <w:szCs w:val="22"/>
          <w:lang w:val="es-ES"/>
        </w:rPr>
        <w:t xml:space="preserve"> protección contra incendios forestales catastróficos, el manejo del fuego y </w:t>
      </w:r>
      <w:r>
        <w:rPr>
          <w:rFonts w:ascii="Lato" w:hAnsi="Lato"/>
          <w:color w:val="595959" w:themeColor="text1" w:themeTint="A6"/>
          <w:sz w:val="22"/>
          <w:szCs w:val="22"/>
          <w:lang w:val="es-ES"/>
        </w:rPr>
        <w:t xml:space="preserve">la </w:t>
      </w:r>
      <w:r w:rsidRPr="00EC2248">
        <w:rPr>
          <w:rFonts w:ascii="Lato" w:hAnsi="Lato"/>
          <w:color w:val="595959" w:themeColor="text1" w:themeTint="A6"/>
          <w:sz w:val="22"/>
          <w:szCs w:val="22"/>
          <w:lang w:val="es-ES"/>
        </w:rPr>
        <w:t xml:space="preserve">restauración de superficies afectadas por el fuego en áreas naturales protegidas federales prioritarias y zonas de influencia. </w:t>
      </w:r>
    </w:p>
    <w:p w:rsidR="00C90843" w:rsidRPr="00EC2248" w:rsidRDefault="00C90843" w:rsidP="00C90843">
      <w:pPr>
        <w:spacing w:beforeLines="24" w:before="57" w:afterLines="24" w:after="57" w:line="288" w:lineRule="auto"/>
        <w:jc w:val="both"/>
        <w:rPr>
          <w:rFonts w:ascii="Lato" w:hAnsi="Lato"/>
          <w:color w:val="595959" w:themeColor="text1" w:themeTint="A6"/>
          <w:sz w:val="22"/>
          <w:szCs w:val="22"/>
          <w:lang w:val="es-ES"/>
        </w:rPr>
      </w:pPr>
      <w:r>
        <w:rPr>
          <w:rFonts w:ascii="Lato" w:hAnsi="Lato"/>
          <w:color w:val="595959" w:themeColor="text1" w:themeTint="A6"/>
          <w:sz w:val="22"/>
          <w:szCs w:val="22"/>
          <w:lang w:val="es-ES"/>
        </w:rPr>
        <w:t>Los sub-proyectos que financia el</w:t>
      </w:r>
      <w:r w:rsidRPr="00EC2248">
        <w:rPr>
          <w:rFonts w:ascii="Lato" w:hAnsi="Lato"/>
          <w:color w:val="595959" w:themeColor="text1" w:themeTint="A6"/>
          <w:sz w:val="22"/>
          <w:szCs w:val="22"/>
          <w:lang w:val="es-ES"/>
        </w:rPr>
        <w:t xml:space="preserve"> FOMAFUR son elegidos mediante convocatorias bianuales que se apegan a los lineamientos establecidos en la sección correspondiente de los sub-proyectos del Manual de Operaciones de FMCN. La convocatoria se comparte con la</w:t>
      </w:r>
      <w:r w:rsidRPr="00EC2248">
        <w:rPr>
          <w:rFonts w:ascii="Lato" w:hAnsi="Lato" w:cs="Arial"/>
          <w:bCs/>
          <w:sz w:val="22"/>
          <w:szCs w:val="22"/>
          <w:lang w:val="es-ES"/>
        </w:rPr>
        <w:t xml:space="preserve"> </w:t>
      </w:r>
      <w:r w:rsidRPr="00EC2248">
        <w:rPr>
          <w:rFonts w:ascii="Lato" w:hAnsi="Lato"/>
          <w:color w:val="595959" w:themeColor="text1" w:themeTint="A6"/>
          <w:sz w:val="22"/>
          <w:szCs w:val="22"/>
          <w:lang w:val="es-ES"/>
        </w:rPr>
        <w:t xml:space="preserve">Conafor y la Conanp, con el propósito de mantener la alineación con las políticas </w:t>
      </w:r>
      <w:r>
        <w:rPr>
          <w:rFonts w:ascii="Lato" w:hAnsi="Lato"/>
          <w:color w:val="595959" w:themeColor="text1" w:themeTint="A6"/>
          <w:sz w:val="22"/>
          <w:szCs w:val="22"/>
          <w:lang w:val="es-ES"/>
        </w:rPr>
        <w:t>de protección contra incendios,</w:t>
      </w:r>
      <w:r w:rsidRPr="00EC2248">
        <w:rPr>
          <w:rFonts w:ascii="Lato" w:hAnsi="Lato"/>
          <w:color w:val="595959" w:themeColor="text1" w:themeTint="A6"/>
          <w:sz w:val="22"/>
          <w:szCs w:val="22"/>
          <w:lang w:val="es-ES"/>
        </w:rPr>
        <w:t xml:space="preserve"> manejo del fuego</w:t>
      </w:r>
      <w:r>
        <w:rPr>
          <w:rFonts w:ascii="Lato" w:hAnsi="Lato"/>
          <w:color w:val="595959" w:themeColor="text1" w:themeTint="A6"/>
          <w:sz w:val="22"/>
          <w:szCs w:val="22"/>
          <w:lang w:val="es-ES"/>
        </w:rPr>
        <w:t xml:space="preserve"> y restauración</w:t>
      </w:r>
      <w:r w:rsidRPr="00EC2248">
        <w:rPr>
          <w:rFonts w:ascii="Lato" w:hAnsi="Lato"/>
          <w:color w:val="595959" w:themeColor="text1" w:themeTint="A6"/>
          <w:sz w:val="22"/>
          <w:szCs w:val="22"/>
          <w:lang w:val="es-ES"/>
        </w:rPr>
        <w:t xml:space="preserve"> del Gobierno de México.</w:t>
      </w:r>
    </w:p>
    <w:p w:rsidR="00C90843" w:rsidRPr="00EC2248" w:rsidRDefault="00C90843" w:rsidP="00C90843">
      <w:pPr>
        <w:spacing w:beforeLines="24" w:before="57" w:afterLines="24" w:after="57" w:line="288" w:lineRule="auto"/>
        <w:jc w:val="both"/>
        <w:rPr>
          <w:rFonts w:ascii="Lato" w:hAnsi="Lato"/>
          <w:color w:val="595959" w:themeColor="text1" w:themeTint="A6"/>
          <w:sz w:val="22"/>
          <w:szCs w:val="22"/>
          <w:lang w:val="es-ES"/>
        </w:rPr>
      </w:pPr>
      <w:r w:rsidRPr="00EC2248">
        <w:rPr>
          <w:rFonts w:ascii="Lato" w:hAnsi="Lato"/>
          <w:color w:val="595959" w:themeColor="text1" w:themeTint="A6"/>
          <w:sz w:val="22"/>
          <w:szCs w:val="22"/>
          <w:lang w:val="es-ES"/>
        </w:rPr>
        <w:t>Asimismo, el seguimiento a los sub-pr</w:t>
      </w:r>
      <w:r>
        <w:rPr>
          <w:rFonts w:ascii="Lato" w:hAnsi="Lato"/>
          <w:color w:val="595959" w:themeColor="text1" w:themeTint="A6"/>
          <w:sz w:val="22"/>
          <w:szCs w:val="22"/>
          <w:lang w:val="es-ES"/>
        </w:rPr>
        <w:t>oyectos se lleva a cabo conforme</w:t>
      </w:r>
      <w:r w:rsidRPr="00EC2248">
        <w:rPr>
          <w:rFonts w:ascii="Lato" w:hAnsi="Lato"/>
          <w:color w:val="595959" w:themeColor="text1" w:themeTint="A6"/>
          <w:sz w:val="22"/>
          <w:szCs w:val="22"/>
          <w:lang w:val="es-ES"/>
        </w:rPr>
        <w:t xml:space="preserve"> a los procedimientos institucionales contenidos en Manual de Operaciones de FMCN. </w:t>
      </w:r>
    </w:p>
    <w:p w:rsidR="00C90843" w:rsidRPr="00EC2248" w:rsidRDefault="00C90843" w:rsidP="00C90843">
      <w:pPr>
        <w:spacing w:beforeLines="24" w:before="57" w:afterLines="24" w:after="57" w:line="288" w:lineRule="auto"/>
        <w:jc w:val="both"/>
        <w:rPr>
          <w:rFonts w:ascii="Lato" w:hAnsi="Lato"/>
          <w:color w:val="595959" w:themeColor="text1" w:themeTint="A6"/>
          <w:sz w:val="22"/>
          <w:szCs w:val="22"/>
          <w:lang w:val="es-ES"/>
        </w:rPr>
      </w:pPr>
      <w:r w:rsidRPr="00EC2248">
        <w:rPr>
          <w:rFonts w:ascii="Lato" w:hAnsi="Lato"/>
          <w:color w:val="595959" w:themeColor="text1" w:themeTint="A6"/>
          <w:sz w:val="22"/>
          <w:szCs w:val="22"/>
          <w:lang w:val="es-ES"/>
        </w:rPr>
        <w:t xml:space="preserve">El cronograma de actividades de la convocatoria e inicio de operación de los sub-proyectos del FOMAFUR coincide con los tiempos de prevención y combate de incendios, por lo que los sub-proyectos no necesariamente se ejecutan dentro de un esquema de año calendario. </w:t>
      </w:r>
      <w:r w:rsidRPr="00EC2248">
        <w:rPr>
          <w:rFonts w:ascii="Lato" w:hAnsi="Lato"/>
          <w:color w:val="595959" w:themeColor="text1" w:themeTint="A6"/>
          <w:sz w:val="22"/>
          <w:szCs w:val="22"/>
          <w:lang w:val="es-ES"/>
        </w:rPr>
        <w:lastRenderedPageBreak/>
        <w:t xml:space="preserve">Sin embargo, en cada convocatoria se establecen estos plazos, los cuales son aprobados por el </w:t>
      </w:r>
      <w:r>
        <w:rPr>
          <w:rFonts w:ascii="Lato" w:hAnsi="Lato"/>
          <w:color w:val="595959" w:themeColor="text1" w:themeTint="A6"/>
          <w:sz w:val="22"/>
          <w:szCs w:val="22"/>
          <w:lang w:val="es-ES"/>
        </w:rPr>
        <w:t>Comité de Manejo Sustentable del FMCN.</w:t>
      </w:r>
    </w:p>
    <w:p w:rsidR="00C90843" w:rsidRDefault="00C90843" w:rsidP="00C90843">
      <w:pPr>
        <w:spacing w:beforeLines="24" w:before="57" w:afterLines="24" w:after="57" w:line="288" w:lineRule="auto"/>
        <w:jc w:val="both"/>
        <w:rPr>
          <w:rFonts w:ascii="Lato" w:hAnsi="Lato"/>
          <w:color w:val="595959" w:themeColor="text1" w:themeTint="A6"/>
          <w:sz w:val="22"/>
          <w:szCs w:val="22"/>
          <w:lang w:val="es-ES"/>
        </w:rPr>
      </w:pPr>
      <w:r w:rsidRPr="00EC2248">
        <w:rPr>
          <w:rFonts w:ascii="Lato" w:hAnsi="Lato"/>
          <w:color w:val="595959" w:themeColor="text1" w:themeTint="A6"/>
          <w:sz w:val="22"/>
          <w:szCs w:val="22"/>
          <w:lang w:val="es-ES"/>
        </w:rPr>
        <w:t>En apoyo al desarrollo de capacidades y el intercambio de información, la iniciativa de manejo del fuego y restauración del FMCN cuenta con la Comunidad de Aprendizaje de Manejo del Fuego desde el año 2002.</w:t>
      </w:r>
    </w:p>
    <w:p w:rsidR="00C90843" w:rsidRPr="00EC2248" w:rsidRDefault="00C90843" w:rsidP="00C90843">
      <w:pPr>
        <w:spacing w:beforeLines="24" w:before="57" w:afterLines="24" w:after="57" w:line="288" w:lineRule="auto"/>
        <w:jc w:val="both"/>
        <w:rPr>
          <w:rFonts w:ascii="Lato" w:hAnsi="Lato"/>
          <w:color w:val="595959" w:themeColor="text1" w:themeTint="A6"/>
          <w:sz w:val="22"/>
          <w:szCs w:val="22"/>
          <w:lang w:val="es-ES"/>
        </w:rPr>
      </w:pPr>
    </w:p>
    <w:p w:rsidR="00C90843" w:rsidRPr="0081209F" w:rsidRDefault="00C90843" w:rsidP="00C90843">
      <w:pPr>
        <w:keepLines/>
        <w:spacing w:beforeLines="24" w:before="57" w:afterLines="24" w:after="57" w:line="288" w:lineRule="auto"/>
        <w:jc w:val="both"/>
        <w:rPr>
          <w:rFonts w:ascii="Lato" w:hAnsi="Lato" w:cs="Times New Roman"/>
          <w:b/>
          <w:bCs/>
          <w:color w:val="595959" w:themeColor="text1" w:themeTint="A6"/>
          <w:sz w:val="22"/>
          <w:szCs w:val="22"/>
          <w:lang w:val="es-ES"/>
        </w:rPr>
      </w:pPr>
      <w:r w:rsidRPr="00EC2248">
        <w:rPr>
          <w:rFonts w:ascii="Lato" w:hAnsi="Lato" w:cs="Times New Roman"/>
          <w:b/>
          <w:bCs/>
          <w:color w:val="595959" w:themeColor="text1" w:themeTint="A6"/>
          <w:sz w:val="22"/>
          <w:szCs w:val="22"/>
          <w:lang w:val="es-ES"/>
        </w:rPr>
        <w:t>Acuerdo de cooperación técnica internacional FMCN-USFS en materia forestal y cambio climático</w:t>
      </w:r>
    </w:p>
    <w:p w:rsidR="00C90843" w:rsidRPr="00EC2248" w:rsidRDefault="00C90843" w:rsidP="00C90843">
      <w:pPr>
        <w:spacing w:beforeLines="24" w:before="57" w:afterLines="24" w:after="57" w:line="288" w:lineRule="auto"/>
        <w:jc w:val="both"/>
        <w:rPr>
          <w:rFonts w:ascii="Lato" w:hAnsi="Lato"/>
          <w:color w:val="595959" w:themeColor="text1" w:themeTint="A6"/>
          <w:sz w:val="22"/>
          <w:szCs w:val="22"/>
          <w:lang w:val="es-ES"/>
        </w:rPr>
      </w:pPr>
      <w:r w:rsidRPr="00EC2248">
        <w:rPr>
          <w:rFonts w:ascii="Lato" w:hAnsi="Lato"/>
          <w:color w:val="595959" w:themeColor="text1" w:themeTint="A6"/>
          <w:sz w:val="22"/>
          <w:szCs w:val="22"/>
          <w:lang w:val="es-ES"/>
        </w:rPr>
        <w:t>En concu</w:t>
      </w:r>
      <w:r>
        <w:rPr>
          <w:rFonts w:ascii="Lato" w:hAnsi="Lato"/>
          <w:color w:val="595959" w:themeColor="text1" w:themeTint="A6"/>
          <w:sz w:val="22"/>
          <w:szCs w:val="22"/>
          <w:lang w:val="es-ES"/>
        </w:rPr>
        <w:t>rrencia con el FOMAFUR, el proyecto</w:t>
      </w:r>
      <w:r w:rsidRPr="00EC2248">
        <w:rPr>
          <w:rFonts w:ascii="Lato" w:hAnsi="Lato"/>
          <w:color w:val="595959" w:themeColor="text1" w:themeTint="A6"/>
          <w:sz w:val="22"/>
          <w:szCs w:val="22"/>
          <w:lang w:val="es-ES"/>
        </w:rPr>
        <w:t xml:space="preserve"> logró en 2004 el establecimiento de un Programa de Cooperación Técnica Internacional en Materia Forestal con el</w:t>
      </w:r>
      <w:r>
        <w:rPr>
          <w:rFonts w:ascii="Lato" w:hAnsi="Lato"/>
          <w:color w:val="595959" w:themeColor="text1" w:themeTint="A6"/>
          <w:sz w:val="22"/>
          <w:szCs w:val="22"/>
          <w:lang w:val="es-ES"/>
        </w:rPr>
        <w:t xml:space="preserve"> </w:t>
      </w:r>
      <w:r w:rsidRPr="00A611F8">
        <w:rPr>
          <w:rFonts w:ascii="Lato" w:hAnsi="Lato"/>
          <w:color w:val="595959" w:themeColor="text1" w:themeTint="A6"/>
          <w:sz w:val="22"/>
          <w:szCs w:val="22"/>
          <w:lang w:val="es-ES"/>
        </w:rPr>
        <w:t>Servicio Forestal de los Estados Unidos</w:t>
      </w:r>
      <w:r w:rsidRPr="00EC2248">
        <w:rPr>
          <w:rFonts w:ascii="Lato" w:hAnsi="Lato"/>
          <w:color w:val="595959" w:themeColor="text1" w:themeTint="A6"/>
          <w:sz w:val="22"/>
          <w:szCs w:val="22"/>
          <w:lang w:val="es-ES"/>
        </w:rPr>
        <w:t xml:space="preserve"> </w:t>
      </w:r>
      <w:r>
        <w:rPr>
          <w:rFonts w:ascii="Lato" w:hAnsi="Lato"/>
          <w:color w:val="595959" w:themeColor="text1" w:themeTint="A6"/>
          <w:sz w:val="22"/>
          <w:szCs w:val="22"/>
          <w:lang w:val="es-ES"/>
        </w:rPr>
        <w:t>(</w:t>
      </w:r>
      <w:r w:rsidRPr="00EC2248">
        <w:rPr>
          <w:rFonts w:ascii="Lato" w:hAnsi="Lato"/>
          <w:color w:val="595959" w:themeColor="text1" w:themeTint="A6"/>
          <w:sz w:val="22"/>
          <w:szCs w:val="22"/>
          <w:lang w:val="es-ES"/>
        </w:rPr>
        <w:t>USFS</w:t>
      </w:r>
      <w:r>
        <w:rPr>
          <w:rFonts w:ascii="Lato" w:hAnsi="Lato"/>
          <w:color w:val="595959" w:themeColor="text1" w:themeTint="A6"/>
          <w:sz w:val="22"/>
          <w:szCs w:val="22"/>
          <w:lang w:val="es-ES"/>
        </w:rPr>
        <w:t xml:space="preserve"> por su acrónimo en inglés)</w:t>
      </w:r>
      <w:r w:rsidRPr="00EC2248">
        <w:rPr>
          <w:rFonts w:ascii="Lato" w:hAnsi="Lato"/>
          <w:color w:val="595959" w:themeColor="text1" w:themeTint="A6"/>
          <w:sz w:val="22"/>
          <w:szCs w:val="22"/>
          <w:lang w:val="es-ES"/>
        </w:rPr>
        <w:t xml:space="preserve"> y a</w:t>
      </w:r>
      <w:r>
        <w:rPr>
          <w:rFonts w:ascii="Lato" w:hAnsi="Lato"/>
          <w:color w:val="595959" w:themeColor="text1" w:themeTint="A6"/>
          <w:sz w:val="22"/>
          <w:szCs w:val="22"/>
          <w:lang w:val="es-ES"/>
        </w:rPr>
        <w:t>poyo de la</w:t>
      </w:r>
      <w:r w:rsidRPr="00A611F8">
        <w:rPr>
          <w:rFonts w:ascii="Lato" w:hAnsi="Lato"/>
          <w:color w:val="595959" w:themeColor="text1" w:themeTint="A6"/>
          <w:sz w:val="22"/>
          <w:szCs w:val="22"/>
          <w:lang w:val="es-ES"/>
        </w:rPr>
        <w:t xml:space="preserve"> Agencia de los Estados Unidos para el Desarrollo Internacional </w:t>
      </w:r>
      <w:r>
        <w:rPr>
          <w:rFonts w:ascii="Lato" w:hAnsi="Lato"/>
          <w:color w:val="595959" w:themeColor="text1" w:themeTint="A6"/>
          <w:sz w:val="22"/>
          <w:szCs w:val="22"/>
          <w:lang w:val="es-ES"/>
        </w:rPr>
        <w:t>(</w:t>
      </w:r>
      <w:r w:rsidRPr="00EC2248">
        <w:rPr>
          <w:rFonts w:ascii="Lato" w:hAnsi="Lato"/>
          <w:color w:val="595959" w:themeColor="text1" w:themeTint="A6"/>
          <w:sz w:val="22"/>
          <w:szCs w:val="22"/>
          <w:lang w:val="es-ES"/>
        </w:rPr>
        <w:t>USAID</w:t>
      </w:r>
      <w:r>
        <w:rPr>
          <w:rFonts w:ascii="Lato" w:hAnsi="Lato"/>
          <w:color w:val="595959" w:themeColor="text1" w:themeTint="A6"/>
          <w:sz w:val="22"/>
          <w:szCs w:val="22"/>
          <w:lang w:val="es-ES"/>
        </w:rPr>
        <w:t>)</w:t>
      </w:r>
      <w:r w:rsidRPr="00EC2248">
        <w:rPr>
          <w:rFonts w:ascii="Lato" w:hAnsi="Lato"/>
          <w:color w:val="595959" w:themeColor="text1" w:themeTint="A6"/>
          <w:sz w:val="22"/>
          <w:szCs w:val="22"/>
          <w:lang w:val="es-ES"/>
        </w:rPr>
        <w:t xml:space="preserve">. El programa </w:t>
      </w:r>
      <w:r>
        <w:rPr>
          <w:rFonts w:ascii="Lato" w:hAnsi="Lato"/>
          <w:color w:val="595959" w:themeColor="text1" w:themeTint="A6"/>
          <w:sz w:val="22"/>
          <w:szCs w:val="22"/>
          <w:lang w:val="es-ES"/>
        </w:rPr>
        <w:t xml:space="preserve">ha incluido </w:t>
      </w:r>
      <w:r w:rsidRPr="00EC2248">
        <w:rPr>
          <w:rFonts w:ascii="Lato" w:hAnsi="Lato"/>
          <w:color w:val="595959" w:themeColor="text1" w:themeTint="A6"/>
          <w:sz w:val="22"/>
          <w:szCs w:val="22"/>
          <w:lang w:val="es-ES"/>
        </w:rPr>
        <w:t xml:space="preserve">procesos de capacitación de personal nacional y la asistencia técnica-tecnológica en temas sobre </w:t>
      </w:r>
      <w:r>
        <w:rPr>
          <w:rFonts w:ascii="Lato" w:hAnsi="Lato"/>
          <w:color w:val="595959" w:themeColor="text1" w:themeTint="A6"/>
          <w:sz w:val="22"/>
          <w:szCs w:val="22"/>
          <w:lang w:val="es-ES"/>
        </w:rPr>
        <w:t>manejo del fuego;</w:t>
      </w:r>
      <w:r w:rsidRPr="00EC2248">
        <w:rPr>
          <w:rFonts w:ascii="Lato" w:hAnsi="Lato"/>
          <w:color w:val="595959" w:themeColor="text1" w:themeTint="A6"/>
          <w:sz w:val="22"/>
          <w:szCs w:val="22"/>
          <w:lang w:val="es-ES"/>
        </w:rPr>
        <w:t xml:space="preserve"> sistemas de medición, monitoreo y verificación de carbono, especialmente en manglares</w:t>
      </w:r>
      <w:r>
        <w:rPr>
          <w:rFonts w:ascii="Lato" w:hAnsi="Lato"/>
          <w:color w:val="595959" w:themeColor="text1" w:themeTint="A6"/>
          <w:sz w:val="22"/>
          <w:szCs w:val="22"/>
          <w:lang w:val="es-ES"/>
        </w:rPr>
        <w:t xml:space="preserve"> y;</w:t>
      </w:r>
      <w:r w:rsidRPr="00EC2248">
        <w:rPr>
          <w:rFonts w:ascii="Lato" w:hAnsi="Lato"/>
          <w:color w:val="595959" w:themeColor="text1" w:themeTint="A6"/>
          <w:sz w:val="22"/>
          <w:szCs w:val="22"/>
          <w:lang w:val="es-ES"/>
        </w:rPr>
        <w:t xml:space="preserve"> operación de torres flujo en colaboración con la Conafor y la Conanp. Los recursos aplicados en el marco de este Programa de Cooperación Técnica Internacional siguen las normas administrativas de la USAID y el USFS en el marco del año fiscal de EUA. La operación de esta iniciativa incluye la contratación de consultorías y la organización de eventos de capacitación. Tanto la contratación de consultores como los gastos efectuados para los eventos se guían de acuerdo con las normas establecidas en el Manual de Operaciones de FMCN.</w:t>
      </w:r>
    </w:p>
    <w:p w:rsidR="00C90843" w:rsidRDefault="00C90843" w:rsidP="00C90843">
      <w:pPr>
        <w:spacing w:beforeLines="24" w:before="57" w:afterLines="24" w:after="57" w:line="288" w:lineRule="auto"/>
        <w:jc w:val="both"/>
        <w:rPr>
          <w:rFonts w:ascii="Lato" w:hAnsi="Lato"/>
          <w:color w:val="595959" w:themeColor="text1" w:themeTint="A6"/>
          <w:sz w:val="22"/>
          <w:szCs w:val="22"/>
          <w:lang w:val="es-ES"/>
        </w:rPr>
      </w:pPr>
    </w:p>
    <w:p w:rsidR="00C90843" w:rsidRDefault="00C90843" w:rsidP="00C90843">
      <w:pPr>
        <w:pStyle w:val="Ttulo1"/>
        <w:spacing w:beforeLines="24" w:before="57" w:afterLines="24" w:after="57" w:line="288" w:lineRule="auto"/>
        <w:jc w:val="both"/>
        <w:rPr>
          <w:rFonts w:ascii="Lato" w:hAnsi="Lato"/>
          <w:color w:val="595959" w:themeColor="text1" w:themeTint="A6"/>
          <w:sz w:val="22"/>
          <w:szCs w:val="22"/>
          <w:lang w:val="es-ES"/>
        </w:rPr>
      </w:pPr>
      <w:bookmarkStart w:id="41" w:name="_Toc95218421"/>
      <w:bookmarkStart w:id="42" w:name="_Toc159420266"/>
      <w:r>
        <w:rPr>
          <w:rFonts w:ascii="Lato" w:hAnsi="Lato"/>
          <w:color w:val="595959" w:themeColor="text1" w:themeTint="A6"/>
          <w:sz w:val="22"/>
          <w:szCs w:val="22"/>
          <w:lang w:val="es-ES"/>
        </w:rPr>
        <w:t>A1.13. Fondo para la Conservación de la Mariposa Monarca</w:t>
      </w:r>
      <w:bookmarkEnd w:id="41"/>
      <w:bookmarkEnd w:id="42"/>
    </w:p>
    <w:p w:rsidR="00C90843" w:rsidRPr="00A57929" w:rsidRDefault="00C90843" w:rsidP="00C90843">
      <w:pPr>
        <w:rPr>
          <w:lang w:val="es-ES"/>
        </w:rPr>
      </w:pPr>
    </w:p>
    <w:p w:rsidR="00C90843" w:rsidRPr="00A611F8" w:rsidRDefault="00C90843" w:rsidP="00C90843">
      <w:pPr>
        <w:spacing w:beforeLines="24" w:before="57" w:afterLines="24" w:after="57" w:line="288" w:lineRule="auto"/>
        <w:jc w:val="both"/>
        <w:rPr>
          <w:rFonts w:ascii="Lato" w:hAnsi="Lato"/>
          <w:color w:val="595959" w:themeColor="text1" w:themeTint="A6"/>
          <w:sz w:val="22"/>
          <w:lang w:val="es-ES"/>
        </w:rPr>
      </w:pPr>
      <w:r w:rsidRPr="00A611F8">
        <w:rPr>
          <w:rFonts w:ascii="Lato" w:hAnsi="Lato"/>
          <w:color w:val="595959" w:themeColor="text1" w:themeTint="A6"/>
          <w:sz w:val="22"/>
          <w:lang w:val="es-ES"/>
        </w:rPr>
        <w:t xml:space="preserve">El </w:t>
      </w:r>
      <w:r>
        <w:rPr>
          <w:rFonts w:ascii="Lato" w:hAnsi="Lato"/>
          <w:color w:val="595959" w:themeColor="text1" w:themeTint="A6"/>
          <w:sz w:val="22"/>
          <w:lang w:val="es-ES"/>
        </w:rPr>
        <w:t>Fondo para la Conservación de la Mariposa Monarca (</w:t>
      </w:r>
      <w:r w:rsidRPr="00A611F8">
        <w:rPr>
          <w:rFonts w:ascii="Lato" w:hAnsi="Lato"/>
          <w:color w:val="595959" w:themeColor="text1" w:themeTint="A6"/>
          <w:sz w:val="22"/>
          <w:lang w:val="es-ES"/>
        </w:rPr>
        <w:t>Fondo Monarca</w:t>
      </w:r>
      <w:r>
        <w:rPr>
          <w:rFonts w:ascii="Lato" w:hAnsi="Lato"/>
          <w:color w:val="595959" w:themeColor="text1" w:themeTint="A6"/>
          <w:sz w:val="22"/>
          <w:lang w:val="es-ES"/>
        </w:rPr>
        <w:t>)</w:t>
      </w:r>
      <w:r w:rsidRPr="00A611F8">
        <w:rPr>
          <w:rFonts w:ascii="Lato" w:hAnsi="Lato"/>
          <w:color w:val="595959" w:themeColor="text1" w:themeTint="A6"/>
          <w:sz w:val="22"/>
          <w:lang w:val="es-ES"/>
        </w:rPr>
        <w:t xml:space="preserve"> es un proyecto que apoya el financiamiento de pagos por servicios ambientales a comunidades que trabajan en la conservación de los bosques de la zona núcleo de la Reserva de la Biósfera Mariposa Monarca (RBMM). El Fondo Monarca está basado en un mecanismo financiero sustentado por un fondo patrimonia</w:t>
      </w:r>
      <w:r>
        <w:rPr>
          <w:rFonts w:ascii="Lato" w:hAnsi="Lato"/>
          <w:color w:val="595959" w:themeColor="text1" w:themeTint="A6"/>
          <w:sz w:val="22"/>
          <w:lang w:val="es-ES"/>
        </w:rPr>
        <w:t>l, cuyos intereses son canalizados</w:t>
      </w:r>
      <w:r w:rsidRPr="00A611F8">
        <w:rPr>
          <w:rFonts w:ascii="Lato" w:hAnsi="Lato"/>
          <w:color w:val="595959" w:themeColor="text1" w:themeTint="A6"/>
          <w:sz w:val="22"/>
          <w:lang w:val="es-ES"/>
        </w:rPr>
        <w:t xml:space="preserve"> a través </w:t>
      </w:r>
      <w:r>
        <w:rPr>
          <w:rFonts w:ascii="Lato" w:hAnsi="Lato"/>
          <w:color w:val="595959" w:themeColor="text1" w:themeTint="A6"/>
          <w:sz w:val="22"/>
          <w:lang w:val="es-ES"/>
        </w:rPr>
        <w:t>del Fondo Forestal Mexicano de</w:t>
      </w:r>
      <w:r w:rsidRPr="00A611F8">
        <w:rPr>
          <w:rFonts w:ascii="Lato" w:hAnsi="Lato"/>
          <w:color w:val="595959" w:themeColor="text1" w:themeTint="A6"/>
          <w:sz w:val="22"/>
          <w:lang w:val="es-ES"/>
        </w:rPr>
        <w:t xml:space="preserve"> </w:t>
      </w:r>
      <w:r>
        <w:rPr>
          <w:rFonts w:ascii="Lato" w:hAnsi="Lato"/>
          <w:color w:val="595959" w:themeColor="text1" w:themeTint="A6"/>
          <w:sz w:val="22"/>
          <w:lang w:val="es-ES"/>
        </w:rPr>
        <w:t xml:space="preserve">la </w:t>
      </w:r>
      <w:r w:rsidRPr="00A611F8">
        <w:rPr>
          <w:rFonts w:ascii="Lato" w:hAnsi="Lato"/>
          <w:color w:val="595959" w:themeColor="text1" w:themeTint="A6"/>
          <w:sz w:val="22"/>
          <w:lang w:val="es-ES"/>
        </w:rPr>
        <w:t>Conafor</w:t>
      </w:r>
      <w:r>
        <w:rPr>
          <w:rFonts w:ascii="Lato" w:hAnsi="Lato"/>
          <w:color w:val="595959" w:themeColor="text1" w:themeTint="A6"/>
          <w:sz w:val="22"/>
          <w:lang w:val="es-ES"/>
        </w:rPr>
        <w:t xml:space="preserve"> para pagar</w:t>
      </w:r>
      <w:r w:rsidRPr="00A611F8">
        <w:rPr>
          <w:rFonts w:ascii="Lato" w:hAnsi="Lato"/>
          <w:color w:val="595959" w:themeColor="text1" w:themeTint="A6"/>
          <w:sz w:val="22"/>
          <w:lang w:val="es-ES"/>
        </w:rPr>
        <w:t xml:space="preserve"> a los dueños de los predios que conservan sus bosques. El Fondo Monarca es un proyecto de colaboración institucional en alianza con el Fondo Mundial para la Naturaleza (WWF</w:t>
      </w:r>
      <w:r>
        <w:rPr>
          <w:rFonts w:ascii="Lato" w:hAnsi="Lato"/>
          <w:color w:val="595959" w:themeColor="text1" w:themeTint="A6"/>
          <w:sz w:val="22"/>
          <w:lang w:val="es-ES"/>
        </w:rPr>
        <w:t xml:space="preserve"> por sus siglas en inglés), la Conafor, la </w:t>
      </w:r>
      <w:r w:rsidRPr="00A611F8">
        <w:rPr>
          <w:rFonts w:ascii="Lato" w:hAnsi="Lato"/>
          <w:color w:val="595959" w:themeColor="text1" w:themeTint="A6"/>
          <w:sz w:val="22"/>
          <w:lang w:val="es-ES"/>
        </w:rPr>
        <w:t>Conanp, los gobiernos de los Estados de México y Michoacán, así como los propietarios de bosques.</w:t>
      </w:r>
    </w:p>
    <w:p w:rsidR="00C90843" w:rsidRPr="00A611F8" w:rsidRDefault="00C90843" w:rsidP="00C90843">
      <w:pPr>
        <w:spacing w:beforeLines="24" w:before="57" w:afterLines="24" w:after="57" w:line="288" w:lineRule="auto"/>
        <w:jc w:val="both"/>
        <w:rPr>
          <w:rFonts w:ascii="Lato" w:hAnsi="Lato"/>
          <w:color w:val="595959" w:themeColor="text1" w:themeTint="A6"/>
          <w:sz w:val="22"/>
          <w:lang w:val="es-ES"/>
        </w:rPr>
      </w:pPr>
      <w:r w:rsidRPr="00A611F8">
        <w:rPr>
          <w:rFonts w:ascii="Lato" w:hAnsi="Lato"/>
          <w:color w:val="595959" w:themeColor="text1" w:themeTint="A6"/>
          <w:sz w:val="22"/>
          <w:lang w:val="es-ES"/>
        </w:rPr>
        <w:lastRenderedPageBreak/>
        <w:t>El F</w:t>
      </w:r>
      <w:r>
        <w:rPr>
          <w:rFonts w:ascii="Lato" w:hAnsi="Lato"/>
          <w:color w:val="595959" w:themeColor="text1" w:themeTint="A6"/>
          <w:sz w:val="22"/>
          <w:lang w:val="es-ES"/>
        </w:rPr>
        <w:t xml:space="preserve">ondo </w:t>
      </w:r>
      <w:r w:rsidRPr="00A611F8">
        <w:rPr>
          <w:rFonts w:ascii="Lato" w:hAnsi="Lato"/>
          <w:color w:val="595959" w:themeColor="text1" w:themeTint="A6"/>
          <w:sz w:val="22"/>
          <w:lang w:val="es-ES"/>
        </w:rPr>
        <w:t>M</w:t>
      </w:r>
      <w:r>
        <w:rPr>
          <w:rFonts w:ascii="Lato" w:hAnsi="Lato"/>
          <w:color w:val="595959" w:themeColor="text1" w:themeTint="A6"/>
          <w:sz w:val="22"/>
          <w:lang w:val="es-ES"/>
        </w:rPr>
        <w:t>onarca</w:t>
      </w:r>
      <w:r w:rsidRPr="00A611F8">
        <w:rPr>
          <w:rFonts w:ascii="Lato" w:hAnsi="Lato"/>
          <w:color w:val="595959" w:themeColor="text1" w:themeTint="A6"/>
          <w:sz w:val="22"/>
          <w:lang w:val="es-ES"/>
        </w:rPr>
        <w:t xml:space="preserve"> se ha consolidado como una referencia nacional en la reducción de las tasas de deforestación en la región y un modelo de financiamiento de la conservación de recursos forestales a partir del pago por s</w:t>
      </w:r>
      <w:r>
        <w:rPr>
          <w:rFonts w:ascii="Lato" w:hAnsi="Lato"/>
          <w:color w:val="595959" w:themeColor="text1" w:themeTint="A6"/>
          <w:sz w:val="22"/>
          <w:lang w:val="es-ES"/>
        </w:rPr>
        <w:t>ervicios ambientales con</w:t>
      </w:r>
      <w:r w:rsidRPr="00A611F8">
        <w:rPr>
          <w:rFonts w:ascii="Lato" w:hAnsi="Lato"/>
          <w:color w:val="595959" w:themeColor="text1" w:themeTint="A6"/>
          <w:sz w:val="22"/>
          <w:lang w:val="es-ES"/>
        </w:rPr>
        <w:t xml:space="preserve"> fondos concurrentes</w:t>
      </w:r>
      <w:r>
        <w:rPr>
          <w:rFonts w:ascii="Lato" w:hAnsi="Lato"/>
          <w:color w:val="595959" w:themeColor="text1" w:themeTint="A6"/>
          <w:sz w:val="22"/>
          <w:lang w:val="es-ES"/>
        </w:rPr>
        <w:t xml:space="preserve"> acordados entre la Conafor y el FMCN</w:t>
      </w:r>
      <w:r w:rsidRPr="00A611F8">
        <w:rPr>
          <w:rFonts w:ascii="Lato" w:hAnsi="Lato"/>
          <w:color w:val="595959" w:themeColor="text1" w:themeTint="A6"/>
          <w:sz w:val="22"/>
          <w:lang w:val="es-ES"/>
        </w:rPr>
        <w:t>. Es</w:t>
      </w:r>
      <w:r>
        <w:rPr>
          <w:rFonts w:ascii="Lato" w:hAnsi="Lato"/>
          <w:color w:val="595959" w:themeColor="text1" w:themeTint="A6"/>
          <w:sz w:val="22"/>
          <w:lang w:val="es-ES"/>
        </w:rPr>
        <w:t>te es</w:t>
      </w:r>
      <w:r w:rsidRPr="00A611F8">
        <w:rPr>
          <w:rFonts w:ascii="Lato" w:hAnsi="Lato"/>
          <w:color w:val="595959" w:themeColor="text1" w:themeTint="A6"/>
          <w:sz w:val="22"/>
          <w:lang w:val="es-ES"/>
        </w:rPr>
        <w:t xml:space="preserve"> el primer fondo patrimonial</w:t>
      </w:r>
      <w:r>
        <w:rPr>
          <w:rFonts w:ascii="Lato" w:hAnsi="Lato"/>
          <w:color w:val="595959" w:themeColor="text1" w:themeTint="A6"/>
          <w:sz w:val="22"/>
          <w:lang w:val="es-ES"/>
        </w:rPr>
        <w:t xml:space="preserve"> en México</w:t>
      </w:r>
      <w:r w:rsidRPr="00A611F8">
        <w:rPr>
          <w:rFonts w:ascii="Lato" w:hAnsi="Lato"/>
          <w:color w:val="595959" w:themeColor="text1" w:themeTint="A6"/>
          <w:sz w:val="22"/>
          <w:lang w:val="es-ES"/>
        </w:rPr>
        <w:t xml:space="preserve"> que apoya de manera directa y en el largo plazo a los propietarios de un ANP federal. </w:t>
      </w:r>
    </w:p>
    <w:p w:rsidR="00C90843" w:rsidRPr="00A611F8" w:rsidRDefault="00C90843" w:rsidP="00C90843">
      <w:pPr>
        <w:spacing w:beforeLines="24" w:before="57" w:afterLines="24" w:after="57" w:line="288" w:lineRule="auto"/>
        <w:jc w:val="both"/>
        <w:rPr>
          <w:rFonts w:ascii="Lato" w:hAnsi="Lato"/>
          <w:color w:val="595959" w:themeColor="text1" w:themeTint="A6"/>
          <w:sz w:val="22"/>
          <w:lang w:val="es-ES"/>
        </w:rPr>
      </w:pPr>
      <w:r w:rsidRPr="00A611F8">
        <w:rPr>
          <w:rFonts w:ascii="Lato" w:hAnsi="Lato"/>
          <w:color w:val="595959" w:themeColor="text1" w:themeTint="A6"/>
          <w:sz w:val="22"/>
          <w:lang w:val="es-ES"/>
        </w:rPr>
        <w:t xml:space="preserve">Para el seguimiento al Fondo Monarca existe una gobernanza que incluye tres espacios básicos: </w:t>
      </w:r>
    </w:p>
    <w:p w:rsidR="00C90843" w:rsidRPr="00A611F8" w:rsidRDefault="00C90843" w:rsidP="00387388">
      <w:pPr>
        <w:pStyle w:val="Prrafodelista"/>
        <w:numPr>
          <w:ilvl w:val="0"/>
          <w:numId w:val="7"/>
        </w:numPr>
        <w:spacing w:beforeLines="24" w:before="57" w:afterLines="24" w:after="57" w:line="288" w:lineRule="auto"/>
        <w:jc w:val="both"/>
        <w:rPr>
          <w:rFonts w:ascii="Lato" w:hAnsi="Lato"/>
          <w:color w:val="595959" w:themeColor="text1" w:themeTint="A6"/>
          <w:lang w:val="es-ES"/>
        </w:rPr>
      </w:pPr>
      <w:r w:rsidRPr="00A611F8">
        <w:rPr>
          <w:rFonts w:ascii="Lato" w:hAnsi="Lato"/>
          <w:color w:val="595959" w:themeColor="text1" w:themeTint="A6"/>
          <w:lang w:val="es-ES"/>
        </w:rPr>
        <w:t>La Comisión del Fondo Monarca (CFM), que se dedica al seguimiento del FM y repor</w:t>
      </w:r>
      <w:r>
        <w:rPr>
          <w:rFonts w:ascii="Lato" w:hAnsi="Lato"/>
          <w:color w:val="595959" w:themeColor="text1" w:themeTint="A6"/>
          <w:lang w:val="es-ES"/>
        </w:rPr>
        <w:t>ta al CTFANP</w:t>
      </w:r>
      <w:r w:rsidRPr="00A611F8">
        <w:rPr>
          <w:rFonts w:ascii="Lato" w:hAnsi="Lato"/>
          <w:color w:val="595959" w:themeColor="text1" w:themeTint="A6"/>
          <w:lang w:val="es-ES"/>
        </w:rPr>
        <w:t>.</w:t>
      </w:r>
    </w:p>
    <w:p w:rsidR="00C90843" w:rsidRPr="00FF79D1" w:rsidRDefault="00C90843" w:rsidP="00387388">
      <w:pPr>
        <w:pStyle w:val="Prrafodelista"/>
        <w:numPr>
          <w:ilvl w:val="0"/>
          <w:numId w:val="7"/>
        </w:numPr>
        <w:spacing w:beforeLines="24" w:before="57" w:afterLines="24" w:after="57" w:line="288" w:lineRule="auto"/>
        <w:jc w:val="both"/>
        <w:rPr>
          <w:rFonts w:ascii="Lato" w:hAnsi="Lato"/>
          <w:color w:val="595959" w:themeColor="text1" w:themeTint="A6"/>
          <w:lang w:val="es-ES"/>
        </w:rPr>
      </w:pPr>
      <w:r w:rsidRPr="00A611F8">
        <w:rPr>
          <w:rFonts w:ascii="Lato" w:hAnsi="Lato"/>
          <w:color w:val="595959" w:themeColor="text1" w:themeTint="A6"/>
          <w:lang w:val="es-ES"/>
        </w:rPr>
        <w:t>El Comité Técnico del Fondo Monarca (CTFM) que incorpora la participación de los due</w:t>
      </w:r>
      <w:r>
        <w:rPr>
          <w:rFonts w:ascii="Lato" w:hAnsi="Lato"/>
          <w:color w:val="595959" w:themeColor="text1" w:themeTint="A6"/>
          <w:lang w:val="es-ES"/>
        </w:rPr>
        <w:t xml:space="preserve">ños de los bosques, WWF, FMCN, </w:t>
      </w:r>
      <w:r w:rsidRPr="00A611F8">
        <w:rPr>
          <w:rFonts w:ascii="Lato" w:hAnsi="Lato"/>
          <w:color w:val="595959" w:themeColor="text1" w:themeTint="A6"/>
          <w:lang w:val="es-ES"/>
        </w:rPr>
        <w:t xml:space="preserve">la colaboración de la Conanp, la Conafor y </w:t>
      </w:r>
      <w:r>
        <w:rPr>
          <w:rFonts w:ascii="Lato" w:hAnsi="Lato"/>
          <w:color w:val="595959" w:themeColor="text1" w:themeTint="A6"/>
          <w:lang w:val="es-ES"/>
        </w:rPr>
        <w:t xml:space="preserve">la participación de </w:t>
      </w:r>
      <w:r w:rsidRPr="00A611F8">
        <w:rPr>
          <w:rFonts w:ascii="Lato" w:hAnsi="Lato"/>
          <w:color w:val="595959" w:themeColor="text1" w:themeTint="A6"/>
          <w:lang w:val="es-ES"/>
        </w:rPr>
        <w:t>personas connotadas vinculadas con la conservación del fenómeno migrator</w:t>
      </w:r>
      <w:r>
        <w:rPr>
          <w:rFonts w:ascii="Lato" w:hAnsi="Lato"/>
          <w:color w:val="595959" w:themeColor="text1" w:themeTint="A6"/>
          <w:lang w:val="es-ES"/>
        </w:rPr>
        <w:t xml:space="preserve">io de la mariposa monarca. El </w:t>
      </w:r>
      <w:r w:rsidRPr="00A611F8">
        <w:rPr>
          <w:rFonts w:ascii="Lato" w:hAnsi="Lato"/>
          <w:color w:val="595959" w:themeColor="text1" w:themeTint="A6"/>
          <w:lang w:val="es-ES"/>
        </w:rPr>
        <w:t>CTFM revisa los resultados del monitoreo forestal con el objeto de autorizar los pagos anua</w:t>
      </w:r>
      <w:r>
        <w:rPr>
          <w:rFonts w:ascii="Lato" w:hAnsi="Lato"/>
          <w:color w:val="595959" w:themeColor="text1" w:themeTint="A6"/>
          <w:lang w:val="es-ES"/>
        </w:rPr>
        <w:t xml:space="preserve">les en los predios que cumplen con conservación de </w:t>
      </w:r>
      <w:r w:rsidRPr="00A611F8">
        <w:rPr>
          <w:rFonts w:ascii="Lato" w:hAnsi="Lato"/>
          <w:color w:val="595959" w:themeColor="text1" w:themeTint="A6"/>
          <w:lang w:val="es-ES"/>
        </w:rPr>
        <w:t>la cobertura forestal. Los pagos del Fondo Monarca son complementados por fondos concurrentes de la Conafor. La toma de decisiones para la asignación de los pagos por servicios ambientales se sustenta en el monitoreo forestal que se realiza con el financiamiento y coordinación de WWF.</w:t>
      </w:r>
    </w:p>
    <w:p w:rsidR="00C90843" w:rsidRPr="00A611F8" w:rsidRDefault="00C90843" w:rsidP="00387388">
      <w:pPr>
        <w:pStyle w:val="Prrafodelista"/>
        <w:numPr>
          <w:ilvl w:val="0"/>
          <w:numId w:val="7"/>
        </w:numPr>
        <w:spacing w:beforeLines="24" w:before="57" w:afterLines="24" w:after="57" w:line="288" w:lineRule="auto"/>
        <w:jc w:val="both"/>
        <w:rPr>
          <w:rFonts w:ascii="Lato" w:hAnsi="Lato"/>
          <w:color w:val="595959" w:themeColor="text1" w:themeTint="A6"/>
          <w:lang w:val="es-ES"/>
        </w:rPr>
      </w:pPr>
      <w:r w:rsidRPr="00A611F8">
        <w:rPr>
          <w:rFonts w:ascii="Lato" w:hAnsi="Lato"/>
          <w:color w:val="595959" w:themeColor="text1" w:themeTint="A6"/>
          <w:lang w:val="es-ES"/>
        </w:rPr>
        <w:t>La Coordinación del Fondo Monarca en la RBMM da seguimiento de tiempo completo a la gestión y operación del Fondo Monarca</w:t>
      </w:r>
      <w:r>
        <w:rPr>
          <w:rFonts w:ascii="Lato" w:hAnsi="Lato"/>
          <w:color w:val="595959" w:themeColor="text1" w:themeTint="A6"/>
          <w:lang w:val="es-ES"/>
        </w:rPr>
        <w:t xml:space="preserve"> y a la vinculación con las comunidades agrarias participantes. La Coordinación del Fondo Monarca</w:t>
      </w:r>
      <w:r w:rsidRPr="00A611F8">
        <w:rPr>
          <w:rFonts w:ascii="Lato" w:hAnsi="Lato"/>
          <w:color w:val="595959" w:themeColor="text1" w:themeTint="A6"/>
          <w:lang w:val="es-ES"/>
        </w:rPr>
        <w:t xml:space="preserve"> es operada desde el año 2020 por el Fondo de Conservac</w:t>
      </w:r>
      <w:r>
        <w:rPr>
          <w:rFonts w:ascii="Lato" w:hAnsi="Lato"/>
          <w:color w:val="595959" w:themeColor="text1" w:themeTint="A6"/>
          <w:lang w:val="es-ES"/>
        </w:rPr>
        <w:t>ión del Eje Neovolcánico (FOCEN)</w:t>
      </w:r>
      <w:r w:rsidRPr="00A611F8">
        <w:rPr>
          <w:rFonts w:ascii="Lato" w:hAnsi="Lato"/>
          <w:color w:val="595959" w:themeColor="text1" w:themeTint="A6"/>
          <w:lang w:val="es-ES"/>
        </w:rPr>
        <w:t>.</w:t>
      </w:r>
    </w:p>
    <w:p w:rsidR="00C90843" w:rsidRPr="00A611F8"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sidRPr="00A611F8">
        <w:rPr>
          <w:rFonts w:ascii="Lato" w:hAnsi="Lato"/>
          <w:color w:val="595959" w:themeColor="text1" w:themeTint="A6"/>
          <w:sz w:val="22"/>
          <w:szCs w:val="22"/>
          <w:lang w:val="es-ES"/>
        </w:rPr>
        <w:t>El Fondo Monarca cuenta con su propio Manual de Operaciones del Fondo para la Conservación de la Mariposa Monarca, el cual establece los lineamientos para la operación de esta estrategia de apoyos económicos para la conservación de los bosques de hibernación de la Mariposa Monarca en México.</w:t>
      </w:r>
    </w:p>
    <w:p w:rsidR="00C90843" w:rsidRPr="00A611F8" w:rsidRDefault="00C90843" w:rsidP="00C90843">
      <w:pPr>
        <w:spacing w:before="200" w:after="200" w:line="288" w:lineRule="auto"/>
        <w:jc w:val="both"/>
        <w:rPr>
          <w:rFonts w:ascii="Lato" w:hAnsi="Lato"/>
          <w:color w:val="595959" w:themeColor="text1" w:themeTint="A6"/>
          <w:sz w:val="22"/>
          <w:szCs w:val="22"/>
          <w:lang w:val="es-ES"/>
        </w:rPr>
      </w:pPr>
      <w:r w:rsidRPr="00A611F8">
        <w:rPr>
          <w:rFonts w:ascii="Lato" w:hAnsi="Lato"/>
          <w:color w:val="595959" w:themeColor="text1" w:themeTint="A6"/>
          <w:sz w:val="22"/>
          <w:szCs w:val="22"/>
          <w:lang w:val="es-ES"/>
        </w:rPr>
        <w:t>Figura 2. Estructura y funcionamiento del Fondo Monarca.</w:t>
      </w:r>
    </w:p>
    <w:p w:rsidR="00C90843" w:rsidRPr="00A611F8" w:rsidRDefault="00C90843" w:rsidP="00C90843">
      <w:pPr>
        <w:spacing w:before="200" w:after="200" w:line="288" w:lineRule="auto"/>
        <w:ind w:left="709"/>
        <w:jc w:val="center"/>
        <w:rPr>
          <w:rFonts w:ascii="Lato" w:hAnsi="Lato" w:cs="Arial"/>
          <w:sz w:val="22"/>
          <w:szCs w:val="22"/>
          <w:lang w:val="es-ES"/>
        </w:rPr>
      </w:pPr>
      <w:r w:rsidRPr="00E27844">
        <w:rPr>
          <w:rFonts w:ascii="Lato" w:hAnsi="Lato" w:cs="Arial"/>
          <w:noProof/>
          <w:sz w:val="22"/>
          <w:szCs w:val="22"/>
          <w:lang w:eastAsia="es-MX"/>
        </w:rPr>
        <w:lastRenderedPageBreak/>
        <w:drawing>
          <wp:inline distT="0" distB="0" distL="0" distR="0" wp14:anchorId="3E3A233F" wp14:editId="5766FF54">
            <wp:extent cx="3856682" cy="2065564"/>
            <wp:effectExtent l="0" t="0" r="4445" b="508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3892051" cy="2084507"/>
                    </a:xfrm>
                    <a:prstGeom prst="rect">
                      <a:avLst/>
                    </a:prstGeom>
                  </pic:spPr>
                </pic:pic>
              </a:graphicData>
            </a:graphic>
          </wp:inline>
        </w:drawing>
      </w:r>
    </w:p>
    <w:p w:rsidR="00C90843"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Pr>
          <w:rFonts w:ascii="Lato" w:hAnsi="Lato"/>
          <w:color w:val="595959" w:themeColor="text1" w:themeTint="A6"/>
          <w:sz w:val="22"/>
          <w:szCs w:val="22"/>
          <w:lang w:val="es-ES"/>
        </w:rPr>
        <w:t>El</w:t>
      </w:r>
      <w:r w:rsidRPr="00A611F8">
        <w:rPr>
          <w:rFonts w:ascii="Lato" w:hAnsi="Lato"/>
          <w:color w:val="595959" w:themeColor="text1" w:themeTint="A6"/>
          <w:sz w:val="22"/>
          <w:szCs w:val="22"/>
          <w:lang w:val="es-ES"/>
        </w:rPr>
        <w:t xml:space="preserve"> esquema de trabajo</w:t>
      </w:r>
      <w:r>
        <w:rPr>
          <w:rFonts w:ascii="Lato" w:hAnsi="Lato"/>
          <w:color w:val="595959" w:themeColor="text1" w:themeTint="A6"/>
          <w:sz w:val="22"/>
          <w:szCs w:val="22"/>
          <w:lang w:val="es-ES"/>
        </w:rPr>
        <w:t xml:space="preserve"> del Fondo Monarca y el FOCEN</w:t>
      </w:r>
      <w:r w:rsidRPr="00A611F8">
        <w:rPr>
          <w:rFonts w:ascii="Lato" w:hAnsi="Lato"/>
          <w:color w:val="595959" w:themeColor="text1" w:themeTint="A6"/>
          <w:sz w:val="22"/>
          <w:szCs w:val="22"/>
          <w:lang w:val="es-ES"/>
        </w:rPr>
        <w:t xml:space="preserve"> facilita la construcción y el desarrollo de sub-proyectos y capacidades de grupos comunitarios, organizaciones civiles e instancias gubernamentales. Los principales temas de apoyo se enfocan en la protección contra incendios y el manejo del fuego, la restauración de recursos forestales, el manejo forestal sustentable y de cuencas hidrográficas, los esquemas de pago por servicios ambientales, la producción forestal comunitaria, el monitoreo del capital natural y las estrategias de mitigación y adaptación al cambio climático.</w:t>
      </w:r>
      <w:bookmarkStart w:id="43" w:name="_Toc95218422"/>
    </w:p>
    <w:p w:rsidR="00C90843" w:rsidRDefault="00C90843" w:rsidP="00C90843">
      <w:pPr>
        <w:pStyle w:val="Ttulo1"/>
        <w:spacing w:beforeLines="24" w:before="57" w:afterLines="24" w:after="57" w:line="288" w:lineRule="auto"/>
        <w:jc w:val="both"/>
        <w:rPr>
          <w:rFonts w:ascii="Lato" w:hAnsi="Lato"/>
          <w:color w:val="595959" w:themeColor="text1" w:themeTint="A6"/>
          <w:sz w:val="22"/>
          <w:szCs w:val="22"/>
          <w:lang w:val="es-ES"/>
        </w:rPr>
      </w:pPr>
      <w:bookmarkStart w:id="44" w:name="_Toc159420267"/>
      <w:r w:rsidRPr="000736AE">
        <w:rPr>
          <w:rFonts w:ascii="Lato" w:hAnsi="Lato"/>
          <w:color w:val="595959" w:themeColor="text1" w:themeTint="A6"/>
          <w:sz w:val="22"/>
          <w:szCs w:val="22"/>
          <w:lang w:val="es-ES"/>
        </w:rPr>
        <w:t>A1.</w:t>
      </w:r>
      <w:r>
        <w:rPr>
          <w:rFonts w:ascii="Lato" w:hAnsi="Lato"/>
          <w:color w:val="595959" w:themeColor="text1" w:themeTint="A6"/>
          <w:sz w:val="22"/>
          <w:szCs w:val="22"/>
          <w:lang w:val="es-ES"/>
        </w:rPr>
        <w:t>14 Conservación y Uso Sostenible en Montañas y Sierras</w:t>
      </w:r>
      <w:bookmarkEnd w:id="44"/>
    </w:p>
    <w:p w:rsidR="00C90843" w:rsidRPr="00E2769D" w:rsidRDefault="00C90843" w:rsidP="00C90843">
      <w:pPr>
        <w:spacing w:before="100" w:beforeAutospacing="1" w:after="100" w:afterAutospacing="1"/>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Descripción del Proyecto.</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CoSMoS abarca una combinación de protección, restauración y combate, monitoreo y fortalecimiento económico local. Las medidas esenciales para alcanzar los objetivos son, por un lado, el manejo efectivo de las áreas naturales protegidas federales (ANP) y la restauración de ecosistemas. Además, se financian medidas para promover el uso y gestión sostenible de los bienes y servicios ecosistémicos y para contribuir al desarrollo de infraestructura digital y de comunicación.</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Geográficamente, CoSMoS abarca hasta 18 ANP que cubren alrededor de 823,000 hectáreas. También contempla apoyar las áreas adyacentes a las ANP federales, bajo una perspectiva de manejo integral de paisaje. Esta región fue seleccionada conforme a criterios de conectividad de los ecosistemas y especies, a los servicios ambientales que proveen las ANP, su conexión con las principales ciudades más pobladas del país, así como a los riesgos y amenazas que enfrentan en un contexto de recuperación post-pandemia COVID19. La información detallada sobre las ANP federales de CoSMoS se incluye en la Figura 1.</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 xml:space="preserve">El objetivo del proyecto es mejorar el estado de conservación y el uso sostenible de los ecosistemas del centro de México. De esta manera se pretende contribuir al uso sostenible </w:t>
      </w:r>
      <w:r w:rsidRPr="00E2769D">
        <w:rPr>
          <w:rFonts w:ascii="Lato" w:eastAsia="Times New Roman" w:hAnsi="Lato" w:cs="Times New Roman"/>
          <w:color w:val="595959" w:themeColor="text1" w:themeTint="A6"/>
          <w:sz w:val="22"/>
          <w:szCs w:val="22"/>
          <w:lang w:eastAsia="es-MX"/>
        </w:rPr>
        <w:lastRenderedPageBreak/>
        <w:t>y a la protección del capital natural mexicano, repercutiendo en mejor protección del clima mundial (ODS 13) y la conservación de la biodiversidad (ODS 15).</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Con los fondos del aporte financiero se financiarán las siguientes medidas para alcanzar este objetivo: (A) fortalecer el manejo efectivo de las ANP federales; (B) apoyar la restauración de los ecosistemas; (C) promover el uso y aprovechamiento sostenible de los bienes y servicios ecosistémicos proporcionados por las ANP federales (fortalecer la economía local) y (D) contribuir al desarrollo de una infraestructura digital y tecnología aplicada para mejorar la toma de decisiones, la comunicación efectiva y la educación ambiental respecto a la conservación de la biodiversidad. Los criterios para alcanzar estos objetivos, los resultados del Proyecto y las medidas necesarias para lograrlos, así como los supuestos en que se basan los objetivos y resultados del Proyecto, están definidos en la Matriz de Resultados incluida en el Acuerdo Separado firmado entre KfW y FMCN.</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El grupo meta son 500.000 personas (residentes y comunidades de las 18 ANP y territorios adyacentes; propietarios y empleados de las MIPyMES agrícolas y turísticas seleccionadas y otras instituciones y organizaciones que trabajan en la zona de intervención. El grupo meta indirecto son hasta 30 millones de personas que son residentes de la zona conurbada del Valle de México, beneficiadas de la mejora en el estado de los bienes y servicios ecosistémicos. Se estima que la duración total de la ejecución del proyecto será de 6.5 años, de los cuales 6 años serán para la operación junto con los socios y seis meses para el cierre por parte de FMCN, con un periodo previsto de diciembre del 2022 a junio del 2029.</w:t>
      </w:r>
    </w:p>
    <w:p w:rsidR="00C90843" w:rsidRPr="00E2769D" w:rsidRDefault="00C90843" w:rsidP="00C90843">
      <w:pPr>
        <w:rPr>
          <w:rFonts w:ascii="Lato" w:hAnsi="Lato"/>
          <w:color w:val="595959" w:themeColor="text1" w:themeTint="A6"/>
          <w:sz w:val="22"/>
          <w:szCs w:val="22"/>
          <w:lang w:val="es-ES"/>
        </w:rPr>
      </w:pPr>
    </w:p>
    <w:p w:rsidR="00C90843" w:rsidRPr="00E2769D" w:rsidRDefault="00C90843" w:rsidP="00C90843">
      <w:pPr>
        <w:rPr>
          <w:rFonts w:ascii="Lato" w:hAnsi="Lato"/>
          <w:color w:val="595959" w:themeColor="text1" w:themeTint="A6"/>
          <w:sz w:val="22"/>
          <w:szCs w:val="22"/>
          <w:lang w:val="es-ES"/>
        </w:rPr>
      </w:pPr>
      <w:r w:rsidRPr="00001AF1">
        <w:rPr>
          <w:rFonts w:ascii="Lato" w:hAnsi="Lato"/>
          <w:noProof/>
          <w:color w:val="595959" w:themeColor="text1" w:themeTint="A6"/>
          <w:sz w:val="22"/>
          <w:szCs w:val="22"/>
          <w:lang w:val="es-ES"/>
        </w:rPr>
        <w:drawing>
          <wp:inline distT="0" distB="0" distL="0" distR="0" wp14:anchorId="255E1262" wp14:editId="24F3FD6A">
            <wp:extent cx="4247909" cy="3231352"/>
            <wp:effectExtent l="0" t="0" r="0" b="0"/>
            <wp:docPr id="2075435943" name="Imagen 2075435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4266610" cy="3245578"/>
                    </a:xfrm>
                    <a:prstGeom prst="rect">
                      <a:avLst/>
                    </a:prstGeom>
                  </pic:spPr>
                </pic:pic>
              </a:graphicData>
            </a:graphic>
          </wp:inline>
        </w:drawing>
      </w:r>
    </w:p>
    <w:p w:rsidR="00C90843" w:rsidRDefault="00C90843" w:rsidP="00C90843">
      <w:pPr>
        <w:spacing w:before="100" w:beforeAutospacing="1" w:after="100" w:afterAutospacing="1"/>
        <w:rPr>
          <w:rFonts w:ascii="Lato" w:eastAsia="Times New Roman" w:hAnsi="Lato" w:cs="Times New Roman"/>
          <w:b/>
          <w:bCs/>
          <w:color w:val="595959" w:themeColor="text1" w:themeTint="A6"/>
          <w:sz w:val="22"/>
          <w:szCs w:val="22"/>
          <w:lang w:eastAsia="es-MX"/>
        </w:rPr>
      </w:pPr>
    </w:p>
    <w:p w:rsidR="00C90843" w:rsidRPr="00E2769D" w:rsidRDefault="00C90843" w:rsidP="00C90843">
      <w:pPr>
        <w:spacing w:before="100" w:beforeAutospacing="1" w:after="100" w:afterAutospacing="1"/>
        <w:rPr>
          <w:rFonts w:ascii="Lato" w:eastAsia="Times New Roman" w:hAnsi="Lato" w:cs="Times New Roman"/>
          <w:b/>
          <w:bCs/>
          <w:color w:val="595959" w:themeColor="text1" w:themeTint="A6"/>
          <w:sz w:val="22"/>
          <w:szCs w:val="22"/>
          <w:lang w:eastAsia="es-MX"/>
        </w:rPr>
      </w:pPr>
      <w:r w:rsidRPr="00E2769D">
        <w:rPr>
          <w:rFonts w:ascii="Lato" w:eastAsia="Times New Roman" w:hAnsi="Lato" w:cs="Times New Roman"/>
          <w:b/>
          <w:bCs/>
          <w:color w:val="595959" w:themeColor="text1" w:themeTint="A6"/>
          <w:sz w:val="22"/>
          <w:szCs w:val="22"/>
          <w:lang w:eastAsia="es-MX"/>
        </w:rPr>
        <w:t>Resultados de CoSMoS.</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Las instituciones socias implementadoras de CoSMoS son CONANP y CONABIO, y FMCN se asegurará de que ambas trabajen en estrecha coordinación en línea con los siguientes resultados:</w:t>
      </w:r>
    </w:p>
    <w:p w:rsidR="00C90843" w:rsidRPr="00E2769D" w:rsidRDefault="00C90843" w:rsidP="00C90843">
      <w:pPr>
        <w:spacing w:before="100" w:beforeAutospacing="1" w:after="100" w:afterAutospacing="1"/>
        <w:jc w:val="both"/>
        <w:rPr>
          <w:rFonts w:ascii="Lato" w:eastAsia="Times New Roman" w:hAnsi="Lato" w:cs="Times New Roman"/>
          <w:i/>
          <w:iCs/>
          <w:color w:val="595959" w:themeColor="text1" w:themeTint="A6"/>
          <w:sz w:val="22"/>
          <w:szCs w:val="22"/>
          <w:lang w:eastAsia="es-MX"/>
        </w:rPr>
      </w:pPr>
      <w:r w:rsidRPr="00E2769D">
        <w:rPr>
          <w:rFonts w:ascii="Lato" w:eastAsia="Times New Roman" w:hAnsi="Lato" w:cs="Times New Roman"/>
          <w:i/>
          <w:iCs/>
          <w:color w:val="595959" w:themeColor="text1" w:themeTint="A6"/>
          <w:sz w:val="22"/>
          <w:szCs w:val="22"/>
          <w:lang w:eastAsia="es-MX"/>
        </w:rPr>
        <w:t>Resultado A. El manejo efectivo de las ANP federales ha sido fortalecido.</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CONANP asume la coordinación de las actividades técnicas incluidas en el Plan Operativo Anual (POA) de las ANP federales. Durante la preparación y ejecución del Proyecto, FMCN y CONANP trabajarán en estrecha coordinación y definirán, de común acuerdo, los aspectos más importantes relacionados a la operación (especialmente en lo relacionado al resultado A).</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FMCN y CONANP han establecido los detalles de la colaboración específica en el marco del Proyecto a través de un convenio de concertación. Este documento requiere la No Objeción de KfW de forma previa a su firma y deberá incluir, entre otros:</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Ø Mantenimiento de una plantilla básica de cinco colaboradores de CONANP, en cada ANP federal incluida en el Proyecto.</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Ø Condiciones y prerrequisitos para el desembolso de los recursos para los POA a través de las Organizaciones Locales Legalmente Constituidas (OLLC) administradoras.</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Ø Descripción del mecanismo de quejas de CONANP aplicable para el Proyecto.</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Ø Párrafo que estipule que CONANP informará a FMCN sobre la operación y resultados de su Mecanismo de Atención a Quejas y Denuncias, relacionado al Proyecto.</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Ø El procedimiento de transferencia o donación de los bienes adquiridos en el marco del Proyecto a CONANP. Al respecto, se considerará que los bienes y activos que se adquieran con recursos del proyecto pasarán a ser propiedad de CONANP, lo cual quedará especificado en el convenio de Concertación. La transmisión de los bienes y activos deberá tener lugar no más allá del 30 de junio de 2029. Los bienes y activos deberán permanecer en la región del Proyecto, asegurando que CONANP asuma los gastos de mantenimiento y operación.</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Ø Proporcionar insumos para la elaboración del Plan Operativo General (POG) en el que se describirán las actividades principales del Proyecto y que deberá contar con la No Objeción de KfW.</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lastRenderedPageBreak/>
        <w:t>Ø Carta de monto de contrapartida anual de CONANP al Proyecto (al menos 7.48 millones de euros, para el periodo de implementación del Proyecto).</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Ø Propiciar, en la medida de sus atribuciones, el establecimiento de consejos asesores en las ANP seleccionadas, o en su defecto, incluir evidencia de la participación social adecuada.</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Ø Párrafo en el que se estipulen los términos de colaboración entre CONANP- CONABIO. Se buscará homologar la utilización de datos para la toma de decisiones en el territorio siguiendo los principios de utilidad y acceso público.</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Para la ejecución, FMCN lanzará, siguiendo sus lineamientos de contratación, una convocatoria a nivel nacional donde se invite a participar a OLLC. En la convocatoria se establece el objetivo de los trabajos que deberán desarrollar las OLLC que participen, las actividades a realizar, los requisitos para participar en la convocatoria, los criterios de selección, forma de evaluación de propuestas, avisos de selección, modo de selección y contratación y mecanismo de seguimiento. Antes de firmar el instrumento jurídico con la OLLC seleccionada, se deberá contar con la aprobación del KfW.</w:t>
      </w:r>
    </w:p>
    <w:p w:rsidR="00C90843" w:rsidRPr="00E2769D" w:rsidRDefault="00C90843" w:rsidP="00C90843">
      <w:pPr>
        <w:spacing w:before="100" w:beforeAutospacing="1" w:after="100" w:afterAutospacing="1"/>
        <w:jc w:val="both"/>
        <w:rPr>
          <w:rFonts w:ascii="Lato" w:eastAsia="Times New Roman" w:hAnsi="Lato" w:cs="Times New Roman"/>
          <w:i/>
          <w:iCs/>
          <w:color w:val="595959" w:themeColor="text1" w:themeTint="A6"/>
          <w:sz w:val="22"/>
          <w:szCs w:val="22"/>
          <w:lang w:eastAsia="es-MX"/>
        </w:rPr>
      </w:pPr>
      <w:r w:rsidRPr="00E2769D">
        <w:rPr>
          <w:rFonts w:ascii="Lato" w:eastAsia="Times New Roman" w:hAnsi="Lato" w:cs="Times New Roman"/>
          <w:i/>
          <w:iCs/>
          <w:color w:val="595959" w:themeColor="text1" w:themeTint="A6"/>
          <w:sz w:val="22"/>
          <w:szCs w:val="22"/>
          <w:lang w:eastAsia="es-MX"/>
        </w:rPr>
        <w:t>Resultado B. La restauración de ecosistemas ha contribuido a aumentar la conservación de la biodiversidad y los servicios ecosistémicos.</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La selección de los sitios por medio de convocatoria para las actividades de este resultado tendrá sus bases en un análisis de prioridades, que formará parte de los criterios de selección de subproyectos. FMCN integrará una convocatoria para estos subproyectos siguiendo los lineamientos de contratación de FMCN y definirá los criterios de elegibilidad en el seno del Comité Técnico de CoSMoS (ver sección 9). Las bases para dichas convocatorias deberán contar con la aprobación del KfW.</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De acuerdo a lo anterior, FMCN lanzará una convocatoria nacional la cual tendrá como objetivo, publicar las áreas dónde deberán estar ubicados los subproyectos, las actividades que se pueden apoyar, los criterios de selección, los requisitos mínimos para participar en la convocatoria, el procedimiento de evaluación de los subproyectos recibidos, las calificaciones para evaluar, los tiempos de respuesta después de ser evaluados y los periodos de adjudicación. El proceso de evaluación seguirá los siguientes pasos:</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a) se seleccionan los subproyectos que cumplen con los requisitos mínimos estipulados en los criterios de selección y demás documentos de la convocatoria, para participar;</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b) una vez seleccionados, se hace un taller de evaluación con expertos externos, que tienen conocimiento de las actividades y regiones mencionadas en la convocatoria;</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c) los expertos revisan las propuestas técnicas y administrativas y emiten observaciones a los subproyectos y los califican con base en la calidad de las propuestas;</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lastRenderedPageBreak/>
        <w:t>d) se seleccionan los mejores subproyectos, éstos se pasan al Comité Técnico para su aprobación;</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e) una vez que son aprobados por el Comité Técnico, el equipo técnico y administrativo del proyecto revisan la propuesta, así como el cumplimiento con el SGAS del proyecto y envían las observaciones de los expertos y del mismo FMCN para fortalecer el subproyecto;</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f) FMCN formaliza los contratos con las OLLC seleccionadas.</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Tanto los criterios mínimos, los criterios de elegibilidad, las bases de la convocatoria y el proceso de evaluación y el modelo de instrumento jurídico a ser firmado con las OLLC deberán contar previamente con la aprobación de KfW.</w:t>
      </w:r>
    </w:p>
    <w:p w:rsidR="00C90843" w:rsidRPr="00E2769D" w:rsidRDefault="00C90843" w:rsidP="00C90843">
      <w:pPr>
        <w:spacing w:before="100" w:beforeAutospacing="1" w:after="100" w:afterAutospacing="1"/>
        <w:jc w:val="both"/>
        <w:rPr>
          <w:rFonts w:ascii="Lato" w:eastAsia="Times New Roman" w:hAnsi="Lato" w:cs="Times New Roman"/>
          <w:i/>
          <w:iCs/>
          <w:color w:val="595959" w:themeColor="text1" w:themeTint="A6"/>
          <w:sz w:val="22"/>
          <w:szCs w:val="22"/>
          <w:lang w:eastAsia="es-MX"/>
        </w:rPr>
      </w:pPr>
      <w:r w:rsidRPr="00E2769D">
        <w:rPr>
          <w:rFonts w:ascii="Lato" w:eastAsia="Times New Roman" w:hAnsi="Lato" w:cs="Times New Roman"/>
          <w:i/>
          <w:iCs/>
          <w:color w:val="595959" w:themeColor="text1" w:themeTint="A6"/>
          <w:sz w:val="22"/>
          <w:szCs w:val="22"/>
          <w:lang w:eastAsia="es-MX"/>
        </w:rPr>
        <w:t>Resultado C. La economía local ha sido fortalecida a través del uso y aprovechamiento sostenibles de los bienes y servicios ecosistémicos proporcionados por las ANP federales.</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Los apoyos a emprendimientos a través de Proveedores Locales de Asistencia Técnica (PLAT) tomarán en cuenta las experiencias y lecciones aprendidas del Proyecto COBEN (GIZ) y el diagnóstico de 50 emprendimientos en la región Eje y Centro Neovolcánico realizado por CONANP. Las consultorías a ser contratadas cuidarán la compatibilidad con los programas de subsidios de CONANP.</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FMCN siguiendo sus lineamientos para contrataciones, publicará las bases de licitación y los términos de referencia (TdR) para elegir hasta 12 PLAT que realicen el diagnóstico de las empresas comunitarias y grupos productivos (incluyendo criterios medioambientales y sociales) y un plan de fortalecimiento para las mismas. Se espera que los diagnósticos sean elaborados por firmas consultoras diferentes. A partir del diagnóstico del punto anterior, se atenderán las necesidades identificadas para cada empresa y se definirá cuáles serán las consultorías a contratar para su fortalecimiento. Podrán contratarse firmas consultoras o consultores individuales, las cuales se contratarán siguiendo las normas de contratación del KfW y usando el paquete de documentación estándar para servicios de consultoría y en el marco de la revisión simplificada (Ver cuadro 1 de Adquisición de suministros y servicios).</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Tanto los criterios mínimos, los de elegibilidad, las bases del proceso de contratación, la evaluación técnica y financiera y el modelo de contrato con el PLAT deberán contar con la aprobación de KfW. En caso de que la propuesta del PLAT contemple adquisiciones éstas serán incluidas en el Plan de Adquisición Anual y deberán contratarse según las normas de contratación del KfW y según lo expuesto en numeral 7, cuadro 1.</w:t>
      </w:r>
    </w:p>
    <w:p w:rsidR="00C90843" w:rsidRPr="00E2769D" w:rsidRDefault="00C90843" w:rsidP="00C90843">
      <w:pPr>
        <w:spacing w:before="100" w:beforeAutospacing="1" w:after="100" w:afterAutospacing="1"/>
        <w:jc w:val="both"/>
        <w:rPr>
          <w:rFonts w:ascii="Lato" w:eastAsia="Times New Roman" w:hAnsi="Lato" w:cs="Times New Roman"/>
          <w:i/>
          <w:iCs/>
          <w:color w:val="595959" w:themeColor="text1" w:themeTint="A6"/>
          <w:sz w:val="22"/>
          <w:szCs w:val="22"/>
          <w:lang w:eastAsia="es-MX"/>
        </w:rPr>
      </w:pPr>
      <w:r w:rsidRPr="00E2769D">
        <w:rPr>
          <w:rFonts w:ascii="Lato" w:eastAsia="Times New Roman" w:hAnsi="Lato" w:cs="Times New Roman"/>
          <w:i/>
          <w:iCs/>
          <w:color w:val="595959" w:themeColor="text1" w:themeTint="A6"/>
          <w:sz w:val="22"/>
          <w:szCs w:val="22"/>
          <w:lang w:eastAsia="es-MX"/>
        </w:rPr>
        <w:t>Resultado D. El Proyecto cuenta con infraestructura digital y tecnología aplicada para una mejor toma de decisiones en la conservación, así como una comunicación efectiva en la educación ambiental.</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lastRenderedPageBreak/>
        <w:t>CONABIO asume la ejecución de las actividades técnicas incluidas en el resultado D del marco lógico del Proyecto. La Coordinación General de Información y Análisis es responsable de las actividades concernientes al monitoreo (infraestructura digital y tecnologías) y la Dirección General de Comunicación de la Ciencia de la comunicación efectiva en la educación ambiental.</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Durante la preparación y ejecución del Proyecto, FMCN y CONABIO trabajarán en estrecha coordinación y definirán, de común acuerdo, los aspectos más importantes relacionados a la operación (especialmente en lo relacionado al resultado D).</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CONABIO tendrá tres modalidades para canalizar recursos: 1) Contratación de consultores; 2) Adquisición de bienes, y 3) Convocatorias de subproyectos. Las modalidades 1) y 2) se realizarán según las directrices de contratación de KfW y la modalidad 3) deberá estar alineada a los lineamientos del Manual Operativo (MO) de FMCN (que sigue y no contradice las directrices de KfW) (ver apartado 3 del MO de FMCN).</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El contrato de donación entre CONABIO y FMCN establece las responsabilidades específicas en el marco del Proyecto. Este documento requiere la No Objeción de KfW de forma previa a su firma y deberá incluir, entre otros:</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Ø Direcciones responsables para la implementación del componente D</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Ø Condiciones y requisitos para el desembolso de los recursos asignados al resultado D.</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Ø Insumos para la elaboración del POG en el que se describirán las actividades principales del Proyecto y que deberá contar con la No Objeción de KfW.</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Ø Planeación anual de actividades programadas conforme al formato acordado (cronograma y entregables) en el Acuerdo Separado con KfW.</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Ø Acuerdo para la atención del consultor externo a cargo de la supervisión técnica del resultado D.</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Ø Plan de trabajo para elaborar la estrategia de comunicación y educación ambiental.</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Ø Informes técnicos semestrales con avances conforme al cronograma establecido en el Anexo 12 del Acuerdo Separado, e informes financieros trimestrales para desembolsos de recursos.</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Ø Carta de monto de contrapartida anual de CONABIO al Proyecto (al menos 4.3 millones de euros, para el periodo de implementación del Proyecto).</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lastRenderedPageBreak/>
        <w:t>Ø Obligación de informar a FMCN sobre cualquier situación que ponga en riesgo el logro del objetivo general, el propósito del Proyecto o los resultados.</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Ø Descripción del mecanismo de quejas de CONABIO aplicable para el Proyecto.</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Ø Párrafo que estipule que CONABIO informará a FMCN sobre la operación y resultados de su Mecanismo de Atención a Quejas y Denuncias, relacionado al Proyecto.</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Ø Párrafo en el que se estipulen los términos de colaboración entre CONANP- CONABIO. Se buscará homologar la utilización de datos para la toma de decisiones en el territorio siguiendo los principios de utilidad y acceso público.</w:t>
      </w:r>
    </w:p>
    <w:p w:rsidR="00C90843" w:rsidRPr="00A70100"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El contrato de donación con CONABIO, previsto en el diseño del Proyecto CoSMos se realizará de forma directa y bilateral con FMCN. Los desembolsos a CONABIO se llevarán a cabo de acuerdo con el avance en la implementación, considerado en el plan de desembolsos anual presentado por FMCN al KfW y con base en el contrato firmado y las adendas correspondientes.</w:t>
      </w:r>
    </w:p>
    <w:p w:rsidR="00C90843" w:rsidRPr="003B581B" w:rsidRDefault="00C90843" w:rsidP="00C90843">
      <w:pPr>
        <w:spacing w:before="100" w:beforeAutospacing="1" w:after="100" w:afterAutospacing="1"/>
        <w:rPr>
          <w:rFonts w:ascii="Lato" w:eastAsia="Times New Roman" w:hAnsi="Lato" w:cs="Times New Roman"/>
          <w:b/>
          <w:bCs/>
          <w:color w:val="595959" w:themeColor="text1" w:themeTint="A6"/>
          <w:sz w:val="22"/>
          <w:szCs w:val="22"/>
          <w:lang w:eastAsia="es-MX"/>
        </w:rPr>
      </w:pPr>
      <w:r w:rsidRPr="00E2769D">
        <w:rPr>
          <w:rFonts w:ascii="Lato" w:eastAsia="Times New Roman" w:hAnsi="Lato" w:cs="Times New Roman"/>
          <w:b/>
          <w:bCs/>
          <w:color w:val="595959" w:themeColor="text1" w:themeTint="A6"/>
          <w:sz w:val="22"/>
          <w:szCs w:val="22"/>
          <w:lang w:eastAsia="es-MX"/>
        </w:rPr>
        <w:t>Estructura de gobernanza de CoSMoS.</w:t>
      </w:r>
    </w:p>
    <w:p w:rsidR="00C90843" w:rsidRPr="00E2769D" w:rsidRDefault="00C90843" w:rsidP="00C90843">
      <w:pPr>
        <w:spacing w:before="100" w:beforeAutospacing="1" w:after="100" w:afterAutospacing="1"/>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La gobernanza del Proyecto contempla:</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(i) la conformación de un Comité Técnico que se reunirá al menos tres veces al año. Las minutas de las reuniones deberán compartirse con KfW dentro de los 15 días hábiles posteriores a la reunión. El reglamento y la estructura puede verse en el Manual Organizacional de FMCN.</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(ii) la conformación de una Unidad Coordinadora (UCP) para asegurar la correcta implementación de CoSMoS. La UCP estará conformada por nueve personas de tiempo completo contratadas y supervisadas por FMCN con sede en sus oficinas. Al calce se enlistan los títulos de dichas posiciones:</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b/>
          <w:bCs/>
          <w:color w:val="595959" w:themeColor="text1" w:themeTint="A6"/>
          <w:sz w:val="22"/>
          <w:szCs w:val="22"/>
          <w:lang w:eastAsia="es-MX"/>
        </w:rPr>
        <w:t>Posiciones Generales y Transversales</w:t>
      </w:r>
      <w:r w:rsidRPr="00E2769D">
        <w:rPr>
          <w:rFonts w:ascii="Lato" w:eastAsia="Times New Roman" w:hAnsi="Lato" w:cs="Times New Roman"/>
          <w:color w:val="595959" w:themeColor="text1" w:themeTint="A6"/>
          <w:sz w:val="22"/>
          <w:szCs w:val="22"/>
          <w:lang w:eastAsia="es-MX"/>
        </w:rPr>
        <w:t xml:space="preserve"> (todos los resultados) de CoSMoS</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1. Director(a) de CoSMoS (es necesario contar con la No Objeción de KfW previo a la publicación de convocatoria).</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2. Coordinador(a) Administrativo(a).</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3. Oficial de Salvaguardas (es necesario contar con la No Objeción de KfW previo a la publicación de convocatoria).</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Resultado A (Manejo Efectivo de ANP) y B (Restauración)</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lastRenderedPageBreak/>
        <w:t>4. Coordinador(a) ANP y Restauración.</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5. Oficial ANP, POA Regional y Restauración.</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6. Analista administrativo ANP, Regional y Restauración.</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Resultado C (Emprendimientos)</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7. Coordinador(a) Emprendimientos</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8. Analista Administrativo Emprendimientos</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Resultado D (Monitoreo y Comunicación)</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9. Analista administrativo.</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(iii) Adicionalmente para el resultado D, FMCN contratará a un consultor externo de tiempo parcial para la supervisión técnica, la revisión de avances y productos de dicho resultado. Los TdR de esta posición deberán contar</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con la No Objeción de KfW previo a la publicación. Las principales responsabilidades de este consultor se enlistan a continuación:</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 Revisar diseño de la estrategia de monitoreo</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 Supervisar técnicamente las actividades de monitoreo incluidas en el Resultado D.</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 Revisar reportes técnicos semestrales y anuales que proporcione CONABIO, y el cumplimiento de productos acordados con CONABIO (la aprobación es condición para subsecuentes desembolsos).</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 Preparar notas técnicas para el Comité Técnico de CoSMoS respecto a los productos de monitoreo.</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 Mantener comunicación estrecha con el Analista Administrativo del Resultado D para garantizar la congruencia entre el ejercicio técnico y administrativo de los recursos.</w:t>
      </w:r>
    </w:p>
    <w:p w:rsidR="00C90843" w:rsidRPr="00E2769D" w:rsidRDefault="00C90843" w:rsidP="00C90843">
      <w:pPr>
        <w:spacing w:before="100" w:beforeAutospacing="1" w:after="100" w:afterAutospacing="1"/>
        <w:jc w:val="both"/>
        <w:rPr>
          <w:rFonts w:ascii="Lato" w:eastAsia="Times New Roman" w:hAnsi="Lato" w:cs="Times New Roman"/>
          <w:b/>
          <w:bCs/>
          <w:color w:val="595959" w:themeColor="text1" w:themeTint="A6"/>
          <w:sz w:val="22"/>
          <w:szCs w:val="22"/>
          <w:lang w:eastAsia="es-MX"/>
        </w:rPr>
      </w:pPr>
      <w:r w:rsidRPr="00E2769D">
        <w:rPr>
          <w:rFonts w:ascii="Lato" w:eastAsia="Times New Roman" w:hAnsi="Lato" w:cs="Times New Roman"/>
          <w:b/>
          <w:bCs/>
          <w:color w:val="595959" w:themeColor="text1" w:themeTint="A6"/>
          <w:sz w:val="22"/>
          <w:szCs w:val="22"/>
          <w:lang w:eastAsia="es-MX"/>
        </w:rPr>
        <w:t>Aplicabilidad del SGAS de FMCN al Proyecto.</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Las Salvaguardas Ambientales y Sociales son herramientas para evaluar, prevenir, gestionar y mitigar los posibles riesgos ambientales y sociales, así como los impactos positivos y negativos asociados a la implementación de proyectos en territorio.</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lastRenderedPageBreak/>
        <w:t>FMCN cuenta con una Política Ambiental y Social que constituye un marco para evitar, minimizar y mitigar los posibles impactos ambientales y sociales adversos y potenciar los impactos positivos durante todo el ciclo de vida de los proyectos (ver Anexo 5 del M</w:t>
      </w:r>
      <w:r>
        <w:rPr>
          <w:rFonts w:ascii="Lato" w:eastAsia="Times New Roman" w:hAnsi="Lato" w:cs="Times New Roman"/>
          <w:color w:val="595959" w:themeColor="text1" w:themeTint="A6"/>
          <w:sz w:val="22"/>
          <w:szCs w:val="22"/>
          <w:lang w:eastAsia="es-MX"/>
        </w:rPr>
        <w:t xml:space="preserve">anual de </w:t>
      </w:r>
      <w:r w:rsidRPr="00E2769D">
        <w:rPr>
          <w:rFonts w:ascii="Lato" w:eastAsia="Times New Roman" w:hAnsi="Lato" w:cs="Times New Roman"/>
          <w:color w:val="595959" w:themeColor="text1" w:themeTint="A6"/>
          <w:sz w:val="22"/>
          <w:szCs w:val="22"/>
          <w:lang w:eastAsia="es-MX"/>
        </w:rPr>
        <w:t>O</w:t>
      </w:r>
      <w:r>
        <w:rPr>
          <w:rFonts w:ascii="Lato" w:eastAsia="Times New Roman" w:hAnsi="Lato" w:cs="Times New Roman"/>
          <w:color w:val="595959" w:themeColor="text1" w:themeTint="A6"/>
          <w:sz w:val="22"/>
          <w:szCs w:val="22"/>
          <w:lang w:eastAsia="es-MX"/>
        </w:rPr>
        <w:t>peraciones</w:t>
      </w:r>
      <w:r w:rsidRPr="00E2769D">
        <w:rPr>
          <w:rFonts w:ascii="Lato" w:eastAsia="Times New Roman" w:hAnsi="Lato" w:cs="Times New Roman"/>
          <w:color w:val="595959" w:themeColor="text1" w:themeTint="A6"/>
          <w:sz w:val="22"/>
          <w:szCs w:val="22"/>
          <w:lang w:eastAsia="es-MX"/>
        </w:rPr>
        <w:t xml:space="preserve"> de FMCN). La PAS determina las funciones y responsabilidades institucionales para garantizar su cumplimiento y está integrada por la Lista de Exclusión de FMCN, así como referencias a la normatividad nacional e internacional ambiental y social aplicable, a las Salvaguardas Ambientales y Sociales de FMCN y a los manuales institucionales de FMCN.</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Durante la implementación CoSMoS, FMCN aplicará su Sistema de Gestión Ambiental y Social (SGAS). El SGAS constituye un conjunto de procesos estructurados, dinámicos y continuos para atender los riesgos e impactos ambientales y sociales identificados para el Proyecto que canalizará apoyos a campo a través de Planes Operativos Anuales (POA) y subproyectos. FMCN se asegurará que sus socios apliquen el SGAS y sus instrumentos, en todos los componentes y a lo largo de todo el proyecto.</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La aplicación del SGAS será conforme a la escala y naturaleza de CoSMoS, esto asegura la proporcionalidad de la inversión en las medidas de mitigación de riesgos y la eficiente y eficaz aplicación de los recursos financieros a cargo de FMCN.</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El SGAS está compuesto por los siguientes elementos relacionados entre sí, que contribuyen a evaluar, controlar y mejorar continuamente el desempeño ambiental y social de FMCN:</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a. Política Ambiental y Social y capacidad y competencia organizativa</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b. Salvaguardas ambientales y sociales</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c. Proceso de identificación de riesgos e impactos ambientales y sociales</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d. Gestión de riesgos ambientales y sociales</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e. Seguimiento y evaluación ambiental y social</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f. Preparación y respuesta ante situaciones de emergencia</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g. Participación significativa de las partes interesadas</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h. Divulgación de información</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i. Mecanismo de atención a quejas y denuncias</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 xml:space="preserve">Cada uno de estos elementos pueden consultarse en </w:t>
      </w:r>
      <w:r w:rsidRPr="00514EB4">
        <w:rPr>
          <w:rFonts w:ascii="Lato" w:eastAsia="Times New Roman" w:hAnsi="Lato" w:cs="Times New Roman"/>
          <w:color w:val="595959" w:themeColor="text1" w:themeTint="A6"/>
          <w:sz w:val="22"/>
          <w:szCs w:val="22"/>
          <w:lang w:eastAsia="es-MX"/>
        </w:rPr>
        <w:t>el Anexo 6 del</w:t>
      </w:r>
      <w:r w:rsidRPr="00E2769D">
        <w:rPr>
          <w:rFonts w:ascii="Lato" w:eastAsia="Times New Roman" w:hAnsi="Lato" w:cs="Times New Roman"/>
          <w:color w:val="595959" w:themeColor="text1" w:themeTint="A6"/>
          <w:sz w:val="22"/>
          <w:szCs w:val="22"/>
          <w:lang w:eastAsia="es-MX"/>
        </w:rPr>
        <w:t xml:space="preserve"> M</w:t>
      </w:r>
      <w:r>
        <w:rPr>
          <w:rFonts w:ascii="Lato" w:eastAsia="Times New Roman" w:hAnsi="Lato" w:cs="Times New Roman"/>
          <w:color w:val="595959" w:themeColor="text1" w:themeTint="A6"/>
          <w:sz w:val="22"/>
          <w:szCs w:val="22"/>
          <w:lang w:eastAsia="es-MX"/>
        </w:rPr>
        <w:t>anual de Operaciones</w:t>
      </w:r>
      <w:r w:rsidRPr="00E2769D">
        <w:rPr>
          <w:rFonts w:ascii="Lato" w:eastAsia="Times New Roman" w:hAnsi="Lato" w:cs="Times New Roman"/>
          <w:color w:val="595959" w:themeColor="text1" w:themeTint="A6"/>
          <w:sz w:val="22"/>
          <w:szCs w:val="22"/>
          <w:lang w:eastAsia="es-MX"/>
        </w:rPr>
        <w:t xml:space="preserve"> de FMCN.</w:t>
      </w:r>
    </w:p>
    <w:p w:rsidR="00C90843" w:rsidRPr="00E2769D" w:rsidRDefault="00C90843" w:rsidP="00C90843">
      <w:pPr>
        <w:spacing w:before="100" w:beforeAutospacing="1" w:after="100" w:afterAutospacing="1"/>
        <w:jc w:val="both"/>
        <w:rPr>
          <w:rFonts w:ascii="Lato" w:eastAsia="Times New Roman" w:hAnsi="Lato" w:cs="Times New Roman"/>
          <w:b/>
          <w:bCs/>
          <w:color w:val="595959" w:themeColor="text1" w:themeTint="A6"/>
          <w:sz w:val="22"/>
          <w:szCs w:val="22"/>
          <w:lang w:eastAsia="es-MX"/>
        </w:rPr>
      </w:pPr>
      <w:r w:rsidRPr="00E2769D">
        <w:rPr>
          <w:rFonts w:ascii="Lato" w:eastAsia="Times New Roman" w:hAnsi="Lato" w:cs="Times New Roman"/>
          <w:b/>
          <w:bCs/>
          <w:color w:val="595959" w:themeColor="text1" w:themeTint="A6"/>
          <w:sz w:val="22"/>
          <w:szCs w:val="22"/>
          <w:lang w:eastAsia="es-MX"/>
        </w:rPr>
        <w:lastRenderedPageBreak/>
        <w:t>Borrador de criterios de elegibilidad para las convocatorias a ser realizadas siguiendo las normas del FMCN.</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Las convocatorias del Proyecto CoSMoS del resultado B y C están diseñadas con base en el formato de FMCN establecido en su MO (ver formato 12.</w:t>
      </w:r>
      <w:r>
        <w:rPr>
          <w:rFonts w:ascii="Lato" w:eastAsia="Times New Roman" w:hAnsi="Lato" w:cs="Times New Roman"/>
          <w:color w:val="595959" w:themeColor="text1" w:themeTint="A6"/>
          <w:sz w:val="22"/>
          <w:szCs w:val="22"/>
          <w:lang w:eastAsia="es-MX"/>
        </w:rPr>
        <w:t>12</w:t>
      </w:r>
      <w:r w:rsidRPr="00E2769D">
        <w:rPr>
          <w:rFonts w:ascii="Lato" w:eastAsia="Times New Roman" w:hAnsi="Lato" w:cs="Times New Roman"/>
          <w:color w:val="595959" w:themeColor="text1" w:themeTint="A6"/>
          <w:sz w:val="22"/>
          <w:szCs w:val="22"/>
          <w:lang w:eastAsia="es-MX"/>
        </w:rPr>
        <w:t>) apegados a las normas de contratación de FMCN. El proceso específico de convocatorias para seleccionar subproyectos (resultado B) y PLAT está descrito en el apartado 3. Los procedimientos para los subproyectos del mismo MO de FMCN.</w:t>
      </w:r>
    </w:p>
    <w:p w:rsidR="00C90843"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De manera general, las convocatorias serán dirigidas a OLLC. En caso de que las OLLC no estén conformadas por los productores locales y/o comunidades, la colaboración entre productores y/o comunidades y la OLLC deberá lograrse de forma voluntaria, por mutuo entendimiento y beneficio. Esta colaboración no podrá ser negociada en acuerdos económicos entre las partes, sino alcanzarse por el mutuo entendimiento de los beneficios e participar en las actividades y los resultados esperados.</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En el caso de los resultados B, C y D, las propuestas sometidas a concurso por convocatorias deberán incorporar un enfoque en gestión ambiental y social, incluyendo la visión de género y, en su caso, ofrecerán una atención diferencia a los pueblos indígenas y a las poblaciones afrodecendientes, según sea relevante, de conformidad con el Sistema de Gestión Ambiental y Social (SGAS) de FMCN. La capacitación sobre los instrumentos será a través de los talleres que organizará FMCN durante la etapa de difusión, en los que se ofrecerán apoyo para el desarrollo de las propuestas de subproyectos.</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Los sitios y actividades especificas elegibles serán establecidos durante el primer año del Proyecto y se incluirán en las convocatorias, mismas que deberán contar con la No Objeción de KfW.</w:t>
      </w:r>
    </w:p>
    <w:p w:rsidR="00C90843" w:rsidRPr="00E2769D" w:rsidRDefault="00C90843" w:rsidP="00C90843">
      <w:pPr>
        <w:spacing w:before="100" w:beforeAutospacing="1" w:after="100" w:afterAutospacing="1"/>
        <w:rPr>
          <w:rFonts w:ascii="Lato" w:eastAsia="Times New Roman" w:hAnsi="Lato" w:cs="Times New Roman"/>
          <w:b/>
          <w:bCs/>
          <w:color w:val="595959" w:themeColor="text1" w:themeTint="A6"/>
          <w:sz w:val="22"/>
          <w:szCs w:val="22"/>
          <w:lang w:eastAsia="es-MX"/>
        </w:rPr>
      </w:pPr>
      <w:r w:rsidRPr="00E2769D">
        <w:rPr>
          <w:rFonts w:ascii="Lato" w:eastAsia="Times New Roman" w:hAnsi="Lato" w:cs="Times New Roman"/>
          <w:b/>
          <w:bCs/>
          <w:color w:val="595959" w:themeColor="text1" w:themeTint="A6"/>
          <w:sz w:val="22"/>
          <w:szCs w:val="22"/>
          <w:lang w:eastAsia="es-MX"/>
        </w:rPr>
        <w:t>Procedimientos administrativos específicos de CoSMoS.</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a. Resultado A. Manejo efectivo de ANP. Ver apartado 4 de POA en el MO de FMCN.</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b. Resultado B. Restauración: ver apartado 3, procedimientos para subproyectos por convocatoria de MO de FMCN.</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c. Resultado C. Emprendimientos vía PLAT: ver apartado 2.5 Adquisiciones y contrataciones en el MO de FMCN.</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d. Resultado D. Monitoreo y comunicación: CONABIO tendrá tres mecanismos para canalizar recursos: 1) Contratación de consultores; 2) Adquisición de</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 xml:space="preserve">bienes, y 3) Convocatorias de subproyectos. Estos mecanismos deberán estar alineados a los lineamientos del MO de FMCN (ver apartado 2.5 y 3) y a las directrices de KfW. Los procesos </w:t>
      </w:r>
      <w:r w:rsidRPr="00E2769D">
        <w:rPr>
          <w:rFonts w:ascii="Lato" w:eastAsia="Times New Roman" w:hAnsi="Lato" w:cs="Times New Roman"/>
          <w:color w:val="595959" w:themeColor="text1" w:themeTint="A6"/>
          <w:sz w:val="22"/>
          <w:szCs w:val="22"/>
          <w:lang w:eastAsia="es-MX"/>
        </w:rPr>
        <w:lastRenderedPageBreak/>
        <w:t>de estos mecanismos deberán ser aprobados antes de la firma del contrato de donación entre CONABIO y FMCN.</w:t>
      </w:r>
    </w:p>
    <w:p w:rsidR="00C90843" w:rsidRPr="00E2769D" w:rsidRDefault="00C90843" w:rsidP="00C90843">
      <w:pPr>
        <w:spacing w:before="100" w:beforeAutospacing="1" w:after="100" w:afterAutospacing="1"/>
        <w:jc w:val="both"/>
        <w:rPr>
          <w:rFonts w:ascii="Lato" w:eastAsia="Times New Roman" w:hAnsi="Lato" w:cs="Times New Roman"/>
          <w:b/>
          <w:bCs/>
          <w:color w:val="595959" w:themeColor="text1" w:themeTint="A6"/>
          <w:sz w:val="22"/>
          <w:szCs w:val="22"/>
          <w:lang w:eastAsia="es-MX"/>
        </w:rPr>
      </w:pPr>
      <w:r w:rsidRPr="00E2769D">
        <w:rPr>
          <w:rFonts w:ascii="Lato" w:eastAsia="Times New Roman" w:hAnsi="Lato" w:cs="Times New Roman"/>
          <w:b/>
          <w:bCs/>
          <w:color w:val="595959" w:themeColor="text1" w:themeTint="A6"/>
          <w:sz w:val="22"/>
          <w:szCs w:val="22"/>
          <w:lang w:eastAsia="es-MX"/>
        </w:rPr>
        <w:t>Adquisición de suministros y servicios.</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Para todos los procesos de adquisición de suministros y servicios con cargo al aporte financiero y a los rendimientos generados por el mismo, conforme al Acuerdo Separado en la sección 2.5. Adquisición y disposiciones contractuales, FMCN aplicará las Directrices para la contratación de servicios de consultoría, obras, bienes, plantas industriales y servicios de no-consultoría en el marco de la Cooperación Financiera con países socios, en su versión 2019, rev. enero 2021 (https://www.kfw-entwicklungsbank.de/PDF/Download-Center/PDF-Dokumente-Richtlinien/FZ-Vergaberichtlinien-V-2021-ES.pdf ) de KfW y aplicará el tipo de revisión del KfW según se detalla en el Cuadro 1.</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El primer Plan de Adquisiciones (PA) del proyecto contemplará 18 meses, actualizándose de forma anual en función del año calendario. El PA y su actualización deberá contar con la no objeción del KfW. Todo contrato financiado en virtud del Contrato de Aporte Financiero, deberá atenerse en todo momento:</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a) a las Directrices del KfW;</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b) al Plan de Adquisiciones General (PAG) incluido en el Acuerdo Separado, en su versión actualizado o reformulado, en acuerdo con KfW y conforme al presupuesto del Proyecto;</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c) a los umbrales permitidos en este MO (Cuadro 1); y d) firmar una Declaración de Compromiso por el representante legal de cada participante en el proceso de la licitación/contratación/adquisión. Toda adquisición deberá atender criterios de economía, eficiencia, sostenibilidad, transparencia, igualdad de oportunidades y equidad.</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Para este proyecto y conforme al Acuerdo Separado, las adquisiciones de suministros y servicios no excederán los € 5 millones (obras), € 1 millón (bienes) ni € 200 mil (consultorías/no-consultorías) establecidos para realizar una Licitación Pública Internacional (LPI) (Cuadro 1); en caso de que sucediera, FMCN aplicará los procesos descritos en las directrices de KfW y la Revisión completa o previa cumpliendo lo estipulado en el artículo 1.6.3 de las Directrices del KfW. Significando que el KfW acompañará cada uno de los pasos del proceso de contratación emitiendo No Objeciones a: las bases de licitación, evaluación técnica, evaluación financiera y propuesta de adjudicación, así como al borrador del contrato.</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La Revisión simplificada será obligatoria para los procesos de contratación que se realicen según las directrices del KfW y por medio de una Licitación Publica Nacional (LPN), Licitación Limitada (LL), Cotización de Precios (CP) o Adjudicación Directa (AD) (Cuadro 1). KfW emitirá la No Objeción a los “paquetes de documentos estándares de licitación (TdR, bases, nota de</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lastRenderedPageBreak/>
        <w:t>publicación o carta de invitación, matriz de evaluación, modelo de contrato, lista de Chequeo, etc.), que serán utilizados para cada grupo (Servicio: Obras, Bienes, Consultoría y No-Consultoría y procedimiento: LPN, LL, CP, AD) y KfW acompañará el primer proceso de contratación de cada tipo de servicio emitiendo una No Objeción al mismo.</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Después de la No Objeción de KfW a los documentos estándares de adquisición y al primer proceso de contratación de cada serie, FMCN podrá continuar con los siguientes procesos de contratación utilizando los documentos estándares previamente acordados. Por medio de un auditor externo, se revisará anualmente que se conserven los lineamientos según las directrices del KfW, así como el uso correcto del paquete de documentos estándar y enviará el Informe de Auditoría al KfW para su revisión. (Términos de Referencia del Auditor son parte del Anexo “procedimiento de desembolso” del Acuerdo Separado).</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Para la Adjudicación Directa (AD) se usarán documentos mínimos según el umbral definido en el cuadro 1. El KfW no emitirá previamente una No Objeción a este paquete. El KfW podrá en cualquier momento solicitar los documentos mínimos para su revisión posterior.</w:t>
      </w:r>
    </w:p>
    <w:tbl>
      <w:tblPr>
        <w:tblW w:w="9402" w:type="dxa"/>
        <w:tblCellMar>
          <w:left w:w="0" w:type="dxa"/>
          <w:right w:w="0" w:type="dxa"/>
        </w:tblCellMar>
        <w:tblLook w:val="04A0" w:firstRow="1" w:lastRow="0" w:firstColumn="1" w:lastColumn="0" w:noHBand="0" w:noVBand="1"/>
      </w:tblPr>
      <w:tblGrid>
        <w:gridCol w:w="1243"/>
        <w:gridCol w:w="2290"/>
        <w:gridCol w:w="2269"/>
        <w:gridCol w:w="1925"/>
        <w:gridCol w:w="1675"/>
      </w:tblGrid>
      <w:tr w:rsidR="00C90843" w:rsidRPr="00001AF1" w:rsidTr="00B211B4">
        <w:trPr>
          <w:trHeight w:val="263"/>
        </w:trPr>
        <w:tc>
          <w:tcPr>
            <w:tcW w:w="1243" w:type="dxa"/>
            <w:tcBorders>
              <w:top w:val="single" w:sz="8" w:space="0" w:color="auto"/>
              <w:left w:val="single" w:sz="8" w:space="0" w:color="auto"/>
              <w:bottom w:val="single" w:sz="4" w:space="0" w:color="auto"/>
              <w:right w:val="single" w:sz="8" w:space="0" w:color="auto"/>
            </w:tcBorders>
            <w:shd w:val="clear" w:color="auto" w:fill="E7E6E6" w:themeFill="background2"/>
            <w:tcMar>
              <w:top w:w="0" w:type="dxa"/>
              <w:left w:w="108" w:type="dxa"/>
              <w:bottom w:w="0" w:type="dxa"/>
              <w:right w:w="108" w:type="dxa"/>
            </w:tcMar>
            <w:hideMark/>
          </w:tcPr>
          <w:p w:rsidR="00C90843" w:rsidRPr="00001AF1" w:rsidRDefault="00C90843" w:rsidP="00B211B4">
            <w:pPr>
              <w:rPr>
                <w:rFonts w:ascii="Lato" w:hAnsi="Lato"/>
                <w:color w:val="595959" w:themeColor="text1" w:themeTint="A6"/>
                <w:sz w:val="20"/>
                <w:szCs w:val="20"/>
                <w:lang w:val="es-ES"/>
              </w:rPr>
            </w:pPr>
            <w:r w:rsidRPr="00001AF1">
              <w:rPr>
                <w:rFonts w:ascii="Lato" w:hAnsi="Lato"/>
                <w:color w:val="595959" w:themeColor="text1" w:themeTint="A6"/>
                <w:sz w:val="20"/>
                <w:szCs w:val="20"/>
                <w:lang w:val="es-ES"/>
              </w:rPr>
              <w:t>TIPO DE SERVICIO</w:t>
            </w:r>
          </w:p>
        </w:tc>
        <w:tc>
          <w:tcPr>
            <w:tcW w:w="8159" w:type="dxa"/>
            <w:gridSpan w:val="4"/>
            <w:tcBorders>
              <w:top w:val="single" w:sz="8" w:space="0" w:color="auto"/>
              <w:left w:val="nil"/>
              <w:bottom w:val="single" w:sz="4" w:space="0" w:color="auto"/>
              <w:right w:val="single" w:sz="8" w:space="0" w:color="auto"/>
            </w:tcBorders>
            <w:shd w:val="clear" w:color="auto" w:fill="E7E6E6" w:themeFill="background2"/>
            <w:tcMar>
              <w:top w:w="0" w:type="dxa"/>
              <w:left w:w="108" w:type="dxa"/>
              <w:bottom w:w="0" w:type="dxa"/>
              <w:right w:w="108" w:type="dxa"/>
            </w:tcMar>
            <w:hideMark/>
          </w:tcPr>
          <w:p w:rsidR="00C90843" w:rsidRPr="00001AF1" w:rsidRDefault="00C90843" w:rsidP="00B211B4">
            <w:pPr>
              <w:jc w:val="center"/>
              <w:rPr>
                <w:rFonts w:ascii="Lato" w:hAnsi="Lato"/>
                <w:color w:val="595959" w:themeColor="text1" w:themeTint="A6"/>
                <w:sz w:val="20"/>
                <w:szCs w:val="20"/>
                <w:lang w:val="es-ES"/>
              </w:rPr>
            </w:pPr>
            <w:r w:rsidRPr="00001AF1">
              <w:rPr>
                <w:rFonts w:ascii="Lato" w:hAnsi="Lato"/>
                <w:color w:val="595959" w:themeColor="text1" w:themeTint="A6"/>
                <w:sz w:val="20"/>
                <w:szCs w:val="20"/>
                <w:lang w:val="es-ES"/>
              </w:rPr>
              <w:t>PROCEDIMIENTO SEGÙN LOS UMBRALES</w:t>
            </w:r>
          </w:p>
          <w:p w:rsidR="00C90843" w:rsidRPr="00001AF1" w:rsidRDefault="00C90843" w:rsidP="00B211B4">
            <w:pPr>
              <w:jc w:val="center"/>
              <w:rPr>
                <w:rFonts w:ascii="Lato" w:hAnsi="Lato"/>
                <w:color w:val="595959" w:themeColor="text1" w:themeTint="A6"/>
                <w:sz w:val="20"/>
                <w:szCs w:val="20"/>
                <w:lang w:val="es-ES"/>
              </w:rPr>
            </w:pPr>
          </w:p>
          <w:p w:rsidR="00C90843" w:rsidRPr="00001AF1" w:rsidRDefault="00C90843" w:rsidP="00B211B4">
            <w:pPr>
              <w:jc w:val="center"/>
              <w:rPr>
                <w:rFonts w:ascii="Lato" w:hAnsi="Lato"/>
                <w:color w:val="595959" w:themeColor="text1" w:themeTint="A6"/>
                <w:sz w:val="20"/>
                <w:szCs w:val="20"/>
                <w:lang w:val="es-ES"/>
              </w:rPr>
            </w:pPr>
          </w:p>
        </w:tc>
      </w:tr>
      <w:tr w:rsidR="00C90843" w:rsidRPr="00001AF1" w:rsidTr="00B211B4">
        <w:trPr>
          <w:trHeight w:val="1030"/>
        </w:trPr>
        <w:tc>
          <w:tcPr>
            <w:tcW w:w="124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C90843" w:rsidRPr="00001AF1" w:rsidRDefault="00C90843" w:rsidP="00B211B4">
            <w:pPr>
              <w:rPr>
                <w:rFonts w:ascii="Lato" w:hAnsi="Lato"/>
                <w:color w:val="595959" w:themeColor="text1" w:themeTint="A6"/>
                <w:sz w:val="20"/>
                <w:szCs w:val="20"/>
                <w:lang w:val="es-ES"/>
              </w:rPr>
            </w:pPr>
            <w:r w:rsidRPr="00001AF1">
              <w:rPr>
                <w:rFonts w:ascii="Lato" w:hAnsi="Lato"/>
                <w:color w:val="595959" w:themeColor="text1" w:themeTint="A6"/>
                <w:sz w:val="20"/>
                <w:szCs w:val="20"/>
                <w:lang w:val="es-ES"/>
              </w:rPr>
              <w:t xml:space="preserve">Obras </w:t>
            </w:r>
          </w:p>
        </w:tc>
        <w:tc>
          <w:tcPr>
            <w:tcW w:w="2290" w:type="dxa"/>
            <w:tcBorders>
              <w:top w:val="nil"/>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hideMark/>
          </w:tcPr>
          <w:p w:rsidR="00C90843" w:rsidRPr="00001AF1" w:rsidRDefault="00C90843" w:rsidP="00B211B4">
            <w:pPr>
              <w:textAlignment w:val="top"/>
              <w:rPr>
                <w:rFonts w:ascii="Lato" w:hAnsi="Lato"/>
                <w:color w:val="595959" w:themeColor="text1" w:themeTint="A6"/>
                <w:sz w:val="20"/>
                <w:szCs w:val="20"/>
                <w:lang w:val="es-ES"/>
              </w:rPr>
            </w:pPr>
            <w:r w:rsidRPr="00001AF1">
              <w:rPr>
                <w:rFonts w:ascii="Lato" w:hAnsi="Lato"/>
                <w:color w:val="595959" w:themeColor="text1" w:themeTint="A6"/>
                <w:sz w:val="20"/>
                <w:szCs w:val="20"/>
                <w:lang w:val="es-ES"/>
              </w:rPr>
              <w:t>&gt;5 millones EUR</w:t>
            </w:r>
          </w:p>
          <w:p w:rsidR="00C90843" w:rsidRPr="00001AF1" w:rsidRDefault="00C90843" w:rsidP="00B211B4">
            <w:pPr>
              <w:pStyle w:val="listenabsatz"/>
              <w:spacing w:after="0" w:line="256" w:lineRule="auto"/>
              <w:ind w:left="0" w:hanging="101"/>
              <w:rPr>
                <w:rFonts w:ascii="Lato" w:eastAsiaTheme="minorEastAsia" w:hAnsi="Lato" w:cstheme="minorBidi"/>
                <w:color w:val="595959" w:themeColor="text1" w:themeTint="A6"/>
                <w:sz w:val="20"/>
                <w:szCs w:val="20"/>
                <w:lang w:val="es-ES" w:eastAsia="es-ES"/>
              </w:rPr>
            </w:pPr>
            <w:r w:rsidRPr="00001AF1">
              <w:rPr>
                <w:rFonts w:ascii="Lato" w:eastAsiaTheme="minorEastAsia" w:hAnsi="Lato" w:cstheme="minorBidi"/>
                <w:color w:val="595959" w:themeColor="text1" w:themeTint="A6"/>
                <w:sz w:val="20"/>
                <w:szCs w:val="20"/>
                <w:lang w:val="es-ES" w:eastAsia="es-ES"/>
              </w:rPr>
              <w:t>- Licitación Pública Internacional (LPI)</w:t>
            </w:r>
          </w:p>
          <w:p w:rsidR="00C90843" w:rsidRPr="00001AF1" w:rsidRDefault="00C90843" w:rsidP="00B211B4">
            <w:pPr>
              <w:pStyle w:val="listenabsatz"/>
              <w:spacing w:after="0" w:line="256" w:lineRule="auto"/>
              <w:ind w:left="0" w:hanging="101"/>
              <w:rPr>
                <w:rFonts w:ascii="Lato" w:eastAsiaTheme="minorEastAsia" w:hAnsi="Lato" w:cstheme="minorBidi"/>
                <w:color w:val="595959" w:themeColor="text1" w:themeTint="A6"/>
                <w:sz w:val="20"/>
                <w:szCs w:val="20"/>
                <w:lang w:val="es-ES" w:eastAsia="es-ES"/>
              </w:rPr>
            </w:pPr>
            <w:r w:rsidRPr="00001AF1">
              <w:rPr>
                <w:rFonts w:ascii="Lato" w:eastAsiaTheme="minorEastAsia" w:hAnsi="Lato" w:cstheme="minorBidi"/>
                <w:color w:val="595959" w:themeColor="text1" w:themeTint="A6"/>
                <w:sz w:val="20"/>
                <w:szCs w:val="20"/>
                <w:lang w:val="es-ES" w:eastAsia="es-ES"/>
              </w:rPr>
              <w:t xml:space="preserve"> El proyecto no tendrá obras mayores a 5 millones de euros.</w:t>
            </w:r>
          </w:p>
        </w:tc>
        <w:tc>
          <w:tcPr>
            <w:tcW w:w="2269" w:type="dxa"/>
            <w:tcBorders>
              <w:top w:val="nil"/>
              <w:left w:val="nil"/>
              <w:bottom w:val="single" w:sz="8" w:space="0" w:color="auto"/>
              <w:right w:val="single" w:sz="8" w:space="0" w:color="auto"/>
            </w:tcBorders>
            <w:tcMar>
              <w:top w:w="0" w:type="dxa"/>
              <w:left w:w="108" w:type="dxa"/>
              <w:bottom w:w="0" w:type="dxa"/>
              <w:right w:w="108" w:type="dxa"/>
            </w:tcMar>
            <w:hideMark/>
          </w:tcPr>
          <w:p w:rsidR="00C90843" w:rsidRPr="00001AF1" w:rsidRDefault="00C90843" w:rsidP="00B211B4">
            <w:pPr>
              <w:textAlignment w:val="top"/>
              <w:rPr>
                <w:rFonts w:ascii="Lato" w:hAnsi="Lato"/>
                <w:color w:val="595959" w:themeColor="text1" w:themeTint="A6"/>
                <w:sz w:val="20"/>
                <w:szCs w:val="20"/>
                <w:lang w:val="es-ES"/>
              </w:rPr>
            </w:pPr>
            <w:r w:rsidRPr="00001AF1">
              <w:rPr>
                <w:rFonts w:ascii="Lato" w:hAnsi="Lato"/>
                <w:color w:val="595959" w:themeColor="text1" w:themeTint="A6"/>
                <w:sz w:val="20"/>
                <w:szCs w:val="20"/>
                <w:lang w:val="es-ES"/>
              </w:rPr>
              <w:t>≤ 5millones EUR, pero &gt;100,000 EUR</w:t>
            </w:r>
          </w:p>
          <w:p w:rsidR="00C90843" w:rsidRPr="00001AF1" w:rsidRDefault="00C90843" w:rsidP="00B211B4">
            <w:pPr>
              <w:rPr>
                <w:rFonts w:ascii="Lato" w:hAnsi="Lato"/>
                <w:color w:val="595959" w:themeColor="text1" w:themeTint="A6"/>
                <w:sz w:val="20"/>
                <w:szCs w:val="20"/>
                <w:lang w:val="es-ES"/>
              </w:rPr>
            </w:pPr>
            <w:r w:rsidRPr="00001AF1">
              <w:rPr>
                <w:rFonts w:ascii="Lato" w:hAnsi="Lato"/>
                <w:color w:val="595959" w:themeColor="text1" w:themeTint="A6"/>
                <w:sz w:val="20"/>
                <w:szCs w:val="20"/>
                <w:lang w:val="es-ES"/>
              </w:rPr>
              <w:t xml:space="preserve">Licitación Pública Nacional (LPN) </w:t>
            </w:r>
          </w:p>
        </w:tc>
        <w:tc>
          <w:tcPr>
            <w:tcW w:w="1925" w:type="dxa"/>
            <w:tcBorders>
              <w:top w:val="nil"/>
              <w:left w:val="nil"/>
              <w:bottom w:val="single" w:sz="8" w:space="0" w:color="auto"/>
              <w:right w:val="single" w:sz="8" w:space="0" w:color="auto"/>
            </w:tcBorders>
            <w:tcMar>
              <w:top w:w="0" w:type="dxa"/>
              <w:left w:w="108" w:type="dxa"/>
              <w:bottom w:w="0" w:type="dxa"/>
              <w:right w:w="108" w:type="dxa"/>
            </w:tcMar>
            <w:hideMark/>
          </w:tcPr>
          <w:p w:rsidR="00C90843" w:rsidRPr="00001AF1" w:rsidRDefault="00C90843" w:rsidP="00B211B4">
            <w:pPr>
              <w:textAlignment w:val="top"/>
              <w:rPr>
                <w:rFonts w:ascii="Lato" w:hAnsi="Lato"/>
                <w:color w:val="595959" w:themeColor="text1" w:themeTint="A6"/>
                <w:sz w:val="20"/>
                <w:szCs w:val="20"/>
                <w:lang w:val="es-ES"/>
              </w:rPr>
            </w:pPr>
            <w:r w:rsidRPr="00001AF1">
              <w:rPr>
                <w:rFonts w:ascii="Lato" w:hAnsi="Lato"/>
                <w:color w:val="595959" w:themeColor="text1" w:themeTint="A6"/>
                <w:sz w:val="20"/>
                <w:szCs w:val="20"/>
                <w:lang w:val="es-ES"/>
              </w:rPr>
              <w:t>≤100,000 EUR, pero &gt;20,000 EUR</w:t>
            </w:r>
          </w:p>
          <w:p w:rsidR="00C90843" w:rsidRPr="00001AF1" w:rsidRDefault="00C90843" w:rsidP="00B211B4">
            <w:pPr>
              <w:rPr>
                <w:rFonts w:ascii="Lato" w:hAnsi="Lato"/>
                <w:color w:val="595959" w:themeColor="text1" w:themeTint="A6"/>
                <w:sz w:val="20"/>
                <w:szCs w:val="20"/>
                <w:lang w:val="es-ES"/>
              </w:rPr>
            </w:pPr>
            <w:r w:rsidRPr="00001AF1">
              <w:rPr>
                <w:rFonts w:ascii="Lato" w:hAnsi="Lato"/>
                <w:color w:val="595959" w:themeColor="text1" w:themeTint="A6"/>
                <w:sz w:val="20"/>
                <w:szCs w:val="20"/>
                <w:lang w:val="es-ES"/>
              </w:rPr>
              <w:t xml:space="preserve">Licitación Limitada (LL) </w:t>
            </w:r>
          </w:p>
        </w:tc>
        <w:tc>
          <w:tcPr>
            <w:tcW w:w="1675" w:type="dxa"/>
            <w:vMerge w:val="restart"/>
            <w:tcBorders>
              <w:top w:val="nil"/>
              <w:left w:val="nil"/>
              <w:right w:val="single" w:sz="4" w:space="0" w:color="auto"/>
            </w:tcBorders>
            <w:vAlign w:val="center"/>
            <w:hideMark/>
          </w:tcPr>
          <w:p w:rsidR="00C90843" w:rsidRPr="00001AF1" w:rsidRDefault="00C90843" w:rsidP="00B211B4">
            <w:pPr>
              <w:textAlignment w:val="top"/>
              <w:rPr>
                <w:rFonts w:ascii="Lato" w:hAnsi="Lato"/>
                <w:color w:val="595959" w:themeColor="text1" w:themeTint="A6"/>
                <w:sz w:val="20"/>
                <w:szCs w:val="20"/>
                <w:lang w:val="es-ES"/>
              </w:rPr>
            </w:pPr>
            <w:r w:rsidRPr="00001AF1">
              <w:rPr>
                <w:rFonts w:ascii="Lato" w:hAnsi="Lato"/>
                <w:color w:val="595959" w:themeColor="text1" w:themeTint="A6"/>
                <w:sz w:val="20"/>
                <w:szCs w:val="20"/>
                <w:lang w:val="es-ES"/>
              </w:rPr>
              <w:t>≤20,000 EUR</w:t>
            </w:r>
          </w:p>
          <w:p w:rsidR="00C90843" w:rsidRPr="00001AF1" w:rsidRDefault="00C90843" w:rsidP="00B211B4">
            <w:pPr>
              <w:textAlignment w:val="top"/>
              <w:rPr>
                <w:rFonts w:ascii="Lato" w:hAnsi="Lato"/>
                <w:color w:val="595959" w:themeColor="text1" w:themeTint="A6"/>
                <w:sz w:val="20"/>
                <w:szCs w:val="20"/>
                <w:lang w:val="es-ES"/>
              </w:rPr>
            </w:pPr>
            <w:r w:rsidRPr="00001AF1">
              <w:rPr>
                <w:rFonts w:ascii="Lato" w:hAnsi="Lato"/>
                <w:color w:val="595959" w:themeColor="text1" w:themeTint="A6"/>
                <w:sz w:val="20"/>
                <w:szCs w:val="20"/>
                <w:lang w:val="es-ES"/>
              </w:rPr>
              <w:t>Adjudicación Directa (para montos menores ≤5,000 EUR no se requiere el uso del modelo de contrato/orden de compra)</w:t>
            </w:r>
          </w:p>
        </w:tc>
      </w:tr>
      <w:tr w:rsidR="00C90843" w:rsidRPr="00001AF1" w:rsidTr="00B211B4">
        <w:trPr>
          <w:trHeight w:val="1120"/>
        </w:trPr>
        <w:tc>
          <w:tcPr>
            <w:tcW w:w="1243"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C90843" w:rsidRPr="00001AF1" w:rsidRDefault="00C90843" w:rsidP="00B211B4">
            <w:pPr>
              <w:rPr>
                <w:rFonts w:ascii="Lato" w:hAnsi="Lato"/>
                <w:color w:val="595959" w:themeColor="text1" w:themeTint="A6"/>
                <w:sz w:val="20"/>
                <w:szCs w:val="20"/>
                <w:lang w:val="es-ES"/>
              </w:rPr>
            </w:pPr>
            <w:r w:rsidRPr="00001AF1">
              <w:rPr>
                <w:rFonts w:ascii="Lato" w:hAnsi="Lato"/>
                <w:color w:val="595959" w:themeColor="text1" w:themeTint="A6"/>
                <w:sz w:val="20"/>
                <w:szCs w:val="20"/>
                <w:lang w:val="es-ES"/>
              </w:rPr>
              <w:t xml:space="preserve">Bienes </w:t>
            </w:r>
          </w:p>
        </w:tc>
        <w:tc>
          <w:tcPr>
            <w:tcW w:w="2290" w:type="dxa"/>
            <w:tcBorders>
              <w:top w:val="single" w:sz="4" w:space="0" w:color="auto"/>
              <w:left w:val="nil"/>
              <w:bottom w:val="single" w:sz="8" w:space="0" w:color="auto"/>
              <w:right w:val="single" w:sz="8" w:space="0" w:color="auto"/>
            </w:tcBorders>
            <w:shd w:val="clear" w:color="auto" w:fill="D9D9D9" w:themeFill="background1" w:themeFillShade="D9"/>
            <w:tcMar>
              <w:top w:w="0" w:type="dxa"/>
              <w:left w:w="108" w:type="dxa"/>
              <w:bottom w:w="0" w:type="dxa"/>
              <w:right w:w="108" w:type="dxa"/>
            </w:tcMar>
            <w:hideMark/>
          </w:tcPr>
          <w:p w:rsidR="00C90843" w:rsidRPr="00001AF1" w:rsidRDefault="00C90843" w:rsidP="00B211B4">
            <w:pPr>
              <w:textAlignment w:val="top"/>
              <w:rPr>
                <w:rFonts w:ascii="Lato" w:hAnsi="Lato"/>
                <w:color w:val="595959" w:themeColor="text1" w:themeTint="A6"/>
                <w:sz w:val="20"/>
                <w:szCs w:val="20"/>
                <w:lang w:val="es-ES"/>
              </w:rPr>
            </w:pPr>
            <w:r w:rsidRPr="00001AF1">
              <w:rPr>
                <w:rFonts w:ascii="Lato" w:hAnsi="Lato"/>
                <w:color w:val="595959" w:themeColor="text1" w:themeTint="A6"/>
                <w:sz w:val="20"/>
                <w:szCs w:val="20"/>
                <w:lang w:val="es-ES"/>
              </w:rPr>
              <w:t>&gt;1 millón EUR</w:t>
            </w:r>
          </w:p>
          <w:p w:rsidR="00C90843" w:rsidRPr="00001AF1" w:rsidRDefault="00C90843" w:rsidP="00B211B4">
            <w:pPr>
              <w:rPr>
                <w:rFonts w:ascii="Lato" w:hAnsi="Lato"/>
                <w:color w:val="595959" w:themeColor="text1" w:themeTint="A6"/>
                <w:sz w:val="20"/>
                <w:szCs w:val="20"/>
                <w:lang w:val="es-ES"/>
              </w:rPr>
            </w:pPr>
            <w:r w:rsidRPr="00001AF1">
              <w:rPr>
                <w:rFonts w:ascii="Lato" w:hAnsi="Lato"/>
                <w:color w:val="595959" w:themeColor="text1" w:themeTint="A6"/>
                <w:sz w:val="20"/>
                <w:szCs w:val="20"/>
                <w:lang w:val="es-ES"/>
              </w:rPr>
              <w:t>- Licitación Pública Internacional (LPI)</w:t>
            </w:r>
          </w:p>
        </w:tc>
        <w:tc>
          <w:tcPr>
            <w:tcW w:w="2269" w:type="dxa"/>
            <w:tcBorders>
              <w:top w:val="single" w:sz="4" w:space="0" w:color="auto"/>
              <w:left w:val="nil"/>
              <w:bottom w:val="single" w:sz="8" w:space="0" w:color="auto"/>
              <w:right w:val="single" w:sz="8" w:space="0" w:color="auto"/>
            </w:tcBorders>
            <w:tcMar>
              <w:top w:w="0" w:type="dxa"/>
              <w:left w:w="108" w:type="dxa"/>
              <w:bottom w:w="0" w:type="dxa"/>
              <w:right w:w="108" w:type="dxa"/>
            </w:tcMar>
            <w:hideMark/>
          </w:tcPr>
          <w:p w:rsidR="00C90843" w:rsidRPr="00001AF1" w:rsidRDefault="00C90843" w:rsidP="00B211B4">
            <w:pPr>
              <w:textAlignment w:val="top"/>
              <w:rPr>
                <w:rFonts w:ascii="Lato" w:hAnsi="Lato"/>
                <w:color w:val="595959" w:themeColor="text1" w:themeTint="A6"/>
                <w:sz w:val="20"/>
                <w:szCs w:val="20"/>
                <w:lang w:val="es-ES"/>
              </w:rPr>
            </w:pPr>
            <w:r w:rsidRPr="00001AF1">
              <w:rPr>
                <w:rFonts w:ascii="Lato" w:hAnsi="Lato"/>
                <w:color w:val="595959" w:themeColor="text1" w:themeTint="A6"/>
                <w:sz w:val="20"/>
                <w:szCs w:val="20"/>
                <w:lang w:val="es-ES"/>
              </w:rPr>
              <w:t>≤ 1 millón EUR, pero &gt;100,000 EUR</w:t>
            </w:r>
          </w:p>
          <w:p w:rsidR="00C90843" w:rsidRPr="00001AF1" w:rsidRDefault="00C90843" w:rsidP="00B211B4">
            <w:pPr>
              <w:rPr>
                <w:rFonts w:ascii="Lato" w:hAnsi="Lato"/>
                <w:color w:val="595959" w:themeColor="text1" w:themeTint="A6"/>
                <w:sz w:val="20"/>
                <w:szCs w:val="20"/>
                <w:lang w:val="es-ES"/>
              </w:rPr>
            </w:pPr>
            <w:r w:rsidRPr="00001AF1">
              <w:rPr>
                <w:rFonts w:ascii="Lato" w:hAnsi="Lato"/>
                <w:color w:val="595959" w:themeColor="text1" w:themeTint="A6"/>
                <w:sz w:val="20"/>
                <w:szCs w:val="20"/>
                <w:lang w:val="es-ES"/>
              </w:rPr>
              <w:t xml:space="preserve">Licitación Pública Nacional (LPN) </w:t>
            </w:r>
          </w:p>
        </w:tc>
        <w:tc>
          <w:tcPr>
            <w:tcW w:w="1925" w:type="dxa"/>
            <w:tcBorders>
              <w:top w:val="single" w:sz="4" w:space="0" w:color="auto"/>
              <w:left w:val="nil"/>
              <w:bottom w:val="single" w:sz="8" w:space="0" w:color="auto"/>
              <w:right w:val="single" w:sz="8" w:space="0" w:color="auto"/>
            </w:tcBorders>
            <w:tcMar>
              <w:top w:w="0" w:type="dxa"/>
              <w:left w:w="108" w:type="dxa"/>
              <w:bottom w:w="0" w:type="dxa"/>
              <w:right w:w="108" w:type="dxa"/>
            </w:tcMar>
            <w:hideMark/>
          </w:tcPr>
          <w:p w:rsidR="00C90843" w:rsidRPr="00001AF1" w:rsidRDefault="00C90843" w:rsidP="00B211B4">
            <w:pPr>
              <w:textAlignment w:val="top"/>
              <w:rPr>
                <w:rFonts w:ascii="Lato" w:hAnsi="Lato"/>
                <w:color w:val="595959" w:themeColor="text1" w:themeTint="A6"/>
                <w:sz w:val="20"/>
                <w:szCs w:val="20"/>
                <w:lang w:val="es-ES"/>
              </w:rPr>
            </w:pPr>
            <w:r w:rsidRPr="00001AF1">
              <w:rPr>
                <w:rFonts w:ascii="Lato" w:hAnsi="Lato"/>
                <w:color w:val="595959" w:themeColor="text1" w:themeTint="A6"/>
                <w:sz w:val="20"/>
                <w:szCs w:val="20"/>
                <w:lang w:val="es-ES"/>
              </w:rPr>
              <w:t>≤100,000 EUR, pero &gt;20 000 EUR</w:t>
            </w:r>
          </w:p>
          <w:p w:rsidR="00C90843" w:rsidRPr="00001AF1" w:rsidRDefault="00C90843" w:rsidP="00B211B4">
            <w:pPr>
              <w:rPr>
                <w:rFonts w:ascii="Lato" w:hAnsi="Lato"/>
                <w:color w:val="595959" w:themeColor="text1" w:themeTint="A6"/>
                <w:sz w:val="20"/>
                <w:szCs w:val="20"/>
                <w:lang w:val="es-ES"/>
              </w:rPr>
            </w:pPr>
            <w:r w:rsidRPr="00001AF1">
              <w:rPr>
                <w:rFonts w:ascii="Lato" w:hAnsi="Lato"/>
                <w:color w:val="595959" w:themeColor="text1" w:themeTint="A6"/>
                <w:sz w:val="20"/>
                <w:szCs w:val="20"/>
                <w:lang w:val="es-ES"/>
              </w:rPr>
              <w:t>Licitación Limitada (LL) o Cotización de Precio (CP)</w:t>
            </w:r>
          </w:p>
        </w:tc>
        <w:tc>
          <w:tcPr>
            <w:tcW w:w="1675" w:type="dxa"/>
            <w:vMerge/>
            <w:tcBorders>
              <w:left w:val="nil"/>
              <w:right w:val="single" w:sz="4" w:space="0" w:color="auto"/>
            </w:tcBorders>
            <w:tcMar>
              <w:top w:w="0" w:type="dxa"/>
              <w:left w:w="108" w:type="dxa"/>
              <w:bottom w:w="0" w:type="dxa"/>
              <w:right w:w="108" w:type="dxa"/>
            </w:tcMar>
            <w:vAlign w:val="center"/>
            <w:hideMark/>
          </w:tcPr>
          <w:p w:rsidR="00C90843" w:rsidRPr="00001AF1" w:rsidRDefault="00C90843" w:rsidP="00B211B4">
            <w:pPr>
              <w:textAlignment w:val="top"/>
              <w:rPr>
                <w:rFonts w:ascii="Lato" w:hAnsi="Lato"/>
                <w:color w:val="595959" w:themeColor="text1" w:themeTint="A6"/>
                <w:sz w:val="20"/>
                <w:szCs w:val="20"/>
                <w:lang w:val="es-ES"/>
              </w:rPr>
            </w:pPr>
          </w:p>
        </w:tc>
      </w:tr>
      <w:tr w:rsidR="00C90843" w:rsidRPr="00001AF1" w:rsidTr="00B211B4">
        <w:trPr>
          <w:trHeight w:val="1254"/>
        </w:trPr>
        <w:tc>
          <w:tcPr>
            <w:tcW w:w="1243"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C90843" w:rsidRPr="00001AF1" w:rsidRDefault="00C90843" w:rsidP="00B211B4">
            <w:pPr>
              <w:rPr>
                <w:rFonts w:ascii="Lato" w:hAnsi="Lato"/>
                <w:color w:val="595959" w:themeColor="text1" w:themeTint="A6"/>
                <w:sz w:val="20"/>
                <w:szCs w:val="20"/>
                <w:lang w:val="es-ES"/>
              </w:rPr>
            </w:pPr>
            <w:r w:rsidRPr="00001AF1">
              <w:rPr>
                <w:rFonts w:ascii="Lato" w:hAnsi="Lato"/>
                <w:color w:val="595959" w:themeColor="text1" w:themeTint="A6"/>
                <w:sz w:val="20"/>
                <w:szCs w:val="20"/>
                <w:lang w:val="es-ES"/>
              </w:rPr>
              <w:t>Servicios de Consultoría y de No-consultoría</w:t>
            </w:r>
          </w:p>
        </w:tc>
        <w:tc>
          <w:tcPr>
            <w:tcW w:w="2290" w:type="dxa"/>
            <w:tcBorders>
              <w:top w:val="nil"/>
              <w:left w:val="nil"/>
              <w:bottom w:val="single" w:sz="8" w:space="0" w:color="auto"/>
              <w:right w:val="single" w:sz="8" w:space="0" w:color="auto"/>
            </w:tcBorders>
            <w:tcMar>
              <w:top w:w="0" w:type="dxa"/>
              <w:left w:w="108" w:type="dxa"/>
              <w:bottom w:w="0" w:type="dxa"/>
              <w:right w:w="108" w:type="dxa"/>
            </w:tcMar>
            <w:hideMark/>
          </w:tcPr>
          <w:p w:rsidR="00C90843" w:rsidRPr="00001AF1" w:rsidRDefault="00C90843" w:rsidP="00B211B4">
            <w:pPr>
              <w:textAlignment w:val="top"/>
              <w:rPr>
                <w:rFonts w:ascii="Lato" w:hAnsi="Lato"/>
                <w:color w:val="595959" w:themeColor="text1" w:themeTint="A6"/>
                <w:sz w:val="20"/>
                <w:szCs w:val="20"/>
                <w:lang w:val="es-ES"/>
              </w:rPr>
            </w:pPr>
            <w:r w:rsidRPr="00001AF1">
              <w:rPr>
                <w:rFonts w:ascii="Lato" w:hAnsi="Lato"/>
                <w:color w:val="595959" w:themeColor="text1" w:themeTint="A6"/>
                <w:sz w:val="20"/>
                <w:szCs w:val="20"/>
                <w:lang w:val="es-ES"/>
              </w:rPr>
              <w:t>&gt;200,000 EUR</w:t>
            </w:r>
          </w:p>
          <w:p w:rsidR="00C90843" w:rsidRPr="00001AF1" w:rsidRDefault="00C90843" w:rsidP="00B211B4">
            <w:pPr>
              <w:textAlignment w:val="top"/>
              <w:rPr>
                <w:rFonts w:ascii="Lato" w:hAnsi="Lato"/>
                <w:color w:val="595959" w:themeColor="text1" w:themeTint="A6"/>
                <w:sz w:val="20"/>
                <w:szCs w:val="20"/>
                <w:lang w:val="es-ES"/>
              </w:rPr>
            </w:pPr>
            <w:r w:rsidRPr="00001AF1">
              <w:rPr>
                <w:rFonts w:ascii="Lato" w:hAnsi="Lato"/>
                <w:color w:val="595959" w:themeColor="text1" w:themeTint="A6"/>
                <w:sz w:val="20"/>
                <w:szCs w:val="20"/>
                <w:lang w:val="es-ES"/>
              </w:rPr>
              <w:t>Licitación Pública Internacional (LPI)</w:t>
            </w:r>
          </w:p>
        </w:tc>
        <w:tc>
          <w:tcPr>
            <w:tcW w:w="2269" w:type="dxa"/>
            <w:tcBorders>
              <w:top w:val="nil"/>
              <w:left w:val="nil"/>
              <w:bottom w:val="single" w:sz="8" w:space="0" w:color="auto"/>
              <w:right w:val="single" w:sz="8" w:space="0" w:color="auto"/>
            </w:tcBorders>
            <w:tcMar>
              <w:top w:w="0" w:type="dxa"/>
              <w:left w:w="108" w:type="dxa"/>
              <w:bottom w:w="0" w:type="dxa"/>
              <w:right w:w="108" w:type="dxa"/>
            </w:tcMar>
            <w:hideMark/>
          </w:tcPr>
          <w:p w:rsidR="00C90843" w:rsidRPr="00001AF1" w:rsidRDefault="00C90843" w:rsidP="00B211B4">
            <w:pPr>
              <w:spacing w:after="120"/>
              <w:textAlignment w:val="top"/>
              <w:rPr>
                <w:rFonts w:ascii="Lato" w:hAnsi="Lato"/>
                <w:color w:val="595959" w:themeColor="text1" w:themeTint="A6"/>
                <w:sz w:val="20"/>
                <w:szCs w:val="20"/>
                <w:lang w:val="es-ES"/>
              </w:rPr>
            </w:pPr>
            <w:r w:rsidRPr="00001AF1">
              <w:rPr>
                <w:rFonts w:ascii="Lato" w:hAnsi="Lato"/>
                <w:color w:val="595959" w:themeColor="text1" w:themeTint="A6"/>
                <w:sz w:val="20"/>
                <w:szCs w:val="20"/>
                <w:lang w:val="es-ES"/>
              </w:rPr>
              <w:t>≤200,000 EUR, pero &gt;100,000 EUR – Licitación Pública Nacional (LPN)</w:t>
            </w:r>
          </w:p>
        </w:tc>
        <w:tc>
          <w:tcPr>
            <w:tcW w:w="1925" w:type="dxa"/>
            <w:tcBorders>
              <w:top w:val="nil"/>
              <w:left w:val="nil"/>
              <w:bottom w:val="single" w:sz="8" w:space="0" w:color="auto"/>
              <w:right w:val="single" w:sz="8" w:space="0" w:color="auto"/>
            </w:tcBorders>
            <w:tcMar>
              <w:top w:w="0" w:type="dxa"/>
              <w:left w:w="108" w:type="dxa"/>
              <w:bottom w:w="0" w:type="dxa"/>
              <w:right w:w="108" w:type="dxa"/>
            </w:tcMar>
            <w:hideMark/>
          </w:tcPr>
          <w:p w:rsidR="00C90843" w:rsidRPr="00001AF1" w:rsidRDefault="00C90843" w:rsidP="00B211B4">
            <w:pPr>
              <w:textAlignment w:val="top"/>
              <w:rPr>
                <w:rFonts w:ascii="Lato" w:hAnsi="Lato"/>
                <w:color w:val="595959" w:themeColor="text1" w:themeTint="A6"/>
                <w:sz w:val="20"/>
                <w:szCs w:val="20"/>
                <w:lang w:val="es-ES"/>
              </w:rPr>
            </w:pPr>
            <w:r w:rsidRPr="00001AF1">
              <w:rPr>
                <w:rFonts w:ascii="Lato" w:hAnsi="Lato"/>
                <w:color w:val="595959" w:themeColor="text1" w:themeTint="A6"/>
                <w:sz w:val="20"/>
                <w:szCs w:val="20"/>
                <w:lang w:val="es-ES"/>
              </w:rPr>
              <w:t>≤100,000 EUR, pero &gt;20,000 EUR</w:t>
            </w:r>
          </w:p>
          <w:p w:rsidR="00C90843" w:rsidRPr="00001AF1" w:rsidRDefault="00C90843" w:rsidP="00B211B4">
            <w:pPr>
              <w:rPr>
                <w:rFonts w:ascii="Lato" w:hAnsi="Lato"/>
                <w:color w:val="595959" w:themeColor="text1" w:themeTint="A6"/>
                <w:sz w:val="20"/>
                <w:szCs w:val="20"/>
                <w:lang w:val="es-ES"/>
              </w:rPr>
            </w:pPr>
            <w:r w:rsidRPr="00001AF1">
              <w:rPr>
                <w:rFonts w:ascii="Lato" w:hAnsi="Lato"/>
                <w:color w:val="595959" w:themeColor="text1" w:themeTint="A6"/>
                <w:sz w:val="20"/>
                <w:szCs w:val="20"/>
                <w:lang w:val="es-ES"/>
              </w:rPr>
              <w:t>Licitación Limitada (LL) o Cotización de Precio (CP)</w:t>
            </w:r>
          </w:p>
        </w:tc>
        <w:tc>
          <w:tcPr>
            <w:tcW w:w="1675" w:type="dxa"/>
            <w:vMerge/>
            <w:tcBorders>
              <w:left w:val="nil"/>
              <w:bottom w:val="single" w:sz="4" w:space="0" w:color="auto"/>
              <w:right w:val="single" w:sz="4" w:space="0" w:color="auto"/>
            </w:tcBorders>
            <w:vAlign w:val="center"/>
            <w:hideMark/>
          </w:tcPr>
          <w:p w:rsidR="00C90843" w:rsidRPr="00001AF1" w:rsidRDefault="00C90843" w:rsidP="00B211B4">
            <w:pPr>
              <w:rPr>
                <w:rFonts w:ascii="Lato" w:hAnsi="Lato"/>
                <w:color w:val="595959" w:themeColor="text1" w:themeTint="A6"/>
                <w:sz w:val="20"/>
                <w:szCs w:val="20"/>
                <w:lang w:val="es-ES"/>
              </w:rPr>
            </w:pPr>
          </w:p>
        </w:tc>
      </w:tr>
      <w:tr w:rsidR="00C90843" w:rsidRPr="00001AF1" w:rsidTr="00B211B4">
        <w:trPr>
          <w:trHeight w:val="500"/>
        </w:trPr>
        <w:tc>
          <w:tcPr>
            <w:tcW w:w="1243" w:type="dxa"/>
            <w:tcBorders>
              <w:top w:val="nil"/>
              <w:left w:val="single" w:sz="8" w:space="0" w:color="auto"/>
              <w:bottom w:val="single" w:sz="4" w:space="0" w:color="auto"/>
              <w:right w:val="single" w:sz="8" w:space="0" w:color="auto"/>
            </w:tcBorders>
            <w:tcMar>
              <w:top w:w="0" w:type="dxa"/>
              <w:left w:w="108" w:type="dxa"/>
              <w:bottom w:w="0" w:type="dxa"/>
              <w:right w:w="108" w:type="dxa"/>
            </w:tcMar>
            <w:hideMark/>
          </w:tcPr>
          <w:p w:rsidR="00C90843" w:rsidRPr="00001AF1" w:rsidRDefault="00C90843" w:rsidP="00B211B4">
            <w:pPr>
              <w:rPr>
                <w:rFonts w:ascii="Lato" w:hAnsi="Lato"/>
                <w:color w:val="595959" w:themeColor="text1" w:themeTint="A6"/>
                <w:sz w:val="20"/>
                <w:szCs w:val="20"/>
                <w:lang w:val="es-ES"/>
              </w:rPr>
            </w:pPr>
            <w:r w:rsidRPr="00001AF1">
              <w:rPr>
                <w:rFonts w:ascii="Lato" w:hAnsi="Lato"/>
                <w:color w:val="595959" w:themeColor="text1" w:themeTint="A6"/>
                <w:sz w:val="20"/>
                <w:szCs w:val="20"/>
                <w:lang w:val="es-ES"/>
              </w:rPr>
              <w:t xml:space="preserve">Tipo de No Objeción KfW  </w:t>
            </w:r>
          </w:p>
        </w:tc>
        <w:tc>
          <w:tcPr>
            <w:tcW w:w="2290" w:type="dxa"/>
            <w:tcBorders>
              <w:top w:val="single" w:sz="4" w:space="0" w:color="auto"/>
              <w:left w:val="nil"/>
              <w:bottom w:val="single" w:sz="4" w:space="0" w:color="auto"/>
              <w:right w:val="single" w:sz="8" w:space="0" w:color="auto"/>
            </w:tcBorders>
            <w:tcMar>
              <w:top w:w="0" w:type="dxa"/>
              <w:left w:w="108" w:type="dxa"/>
              <w:bottom w:w="0" w:type="dxa"/>
              <w:right w:w="108" w:type="dxa"/>
            </w:tcMar>
            <w:hideMark/>
          </w:tcPr>
          <w:p w:rsidR="00C90843" w:rsidRPr="00001AF1" w:rsidRDefault="00C90843" w:rsidP="00B211B4">
            <w:pPr>
              <w:textAlignment w:val="top"/>
              <w:rPr>
                <w:rFonts w:ascii="Lato" w:hAnsi="Lato"/>
                <w:color w:val="595959" w:themeColor="text1" w:themeTint="A6"/>
                <w:sz w:val="20"/>
                <w:szCs w:val="20"/>
                <w:lang w:val="es-ES"/>
              </w:rPr>
            </w:pPr>
            <w:r w:rsidRPr="00001AF1">
              <w:rPr>
                <w:rFonts w:ascii="Lato" w:hAnsi="Lato"/>
                <w:color w:val="595959" w:themeColor="text1" w:themeTint="A6"/>
                <w:sz w:val="20"/>
                <w:szCs w:val="20"/>
                <w:lang w:val="es-ES"/>
              </w:rPr>
              <w:t>Revisión previa*</w:t>
            </w:r>
          </w:p>
        </w:tc>
        <w:tc>
          <w:tcPr>
            <w:tcW w:w="5869" w:type="dxa"/>
            <w:gridSpan w:val="3"/>
            <w:tcBorders>
              <w:top w:val="single" w:sz="4" w:space="0" w:color="auto"/>
              <w:left w:val="nil"/>
              <w:bottom w:val="single" w:sz="4" w:space="0" w:color="auto"/>
              <w:right w:val="single" w:sz="8" w:space="0" w:color="auto"/>
            </w:tcBorders>
            <w:shd w:val="clear" w:color="auto" w:fill="FFC000" w:themeFill="accent4"/>
            <w:tcMar>
              <w:top w:w="0" w:type="dxa"/>
              <w:left w:w="108" w:type="dxa"/>
              <w:bottom w:w="0" w:type="dxa"/>
              <w:right w:w="108" w:type="dxa"/>
            </w:tcMar>
            <w:hideMark/>
          </w:tcPr>
          <w:p w:rsidR="00C90843" w:rsidRPr="00001AF1" w:rsidRDefault="00C90843" w:rsidP="00B211B4">
            <w:pPr>
              <w:jc w:val="center"/>
              <w:rPr>
                <w:rFonts w:ascii="Lato" w:hAnsi="Lato"/>
                <w:color w:val="595959" w:themeColor="text1" w:themeTint="A6"/>
                <w:sz w:val="20"/>
                <w:szCs w:val="20"/>
                <w:lang w:val="es-ES"/>
              </w:rPr>
            </w:pPr>
            <w:r w:rsidRPr="00E2769D">
              <w:rPr>
                <w:rFonts w:ascii="Lato" w:hAnsi="Lato"/>
                <w:color w:val="FFFFFF" w:themeColor="background1"/>
                <w:sz w:val="20"/>
                <w:szCs w:val="20"/>
                <w:lang w:val="es-ES"/>
              </w:rPr>
              <w:t>Revisión simplificada</w:t>
            </w:r>
          </w:p>
        </w:tc>
      </w:tr>
    </w:tbl>
    <w:p w:rsidR="00C90843" w:rsidRPr="00E2769D" w:rsidRDefault="00C90843" w:rsidP="00C90843">
      <w:pPr>
        <w:rPr>
          <w:rFonts w:ascii="Lato" w:hAnsi="Lato"/>
          <w:color w:val="595959" w:themeColor="text1" w:themeTint="A6"/>
          <w:sz w:val="22"/>
          <w:szCs w:val="22"/>
          <w:lang w:val="es-ES"/>
        </w:rPr>
      </w:pPr>
    </w:p>
    <w:p w:rsidR="00C90843" w:rsidRPr="00E82EC6" w:rsidRDefault="00C90843" w:rsidP="00C90843">
      <w:pPr>
        <w:spacing w:before="100" w:beforeAutospacing="1" w:after="100" w:afterAutospacing="1"/>
        <w:rPr>
          <w:rFonts w:ascii="Lato" w:eastAsia="Times New Roman" w:hAnsi="Lato" w:cs="Times New Roman"/>
          <w:b/>
          <w:bCs/>
          <w:color w:val="595959" w:themeColor="text1" w:themeTint="A6"/>
          <w:sz w:val="22"/>
          <w:szCs w:val="22"/>
          <w:lang w:eastAsia="es-MX"/>
        </w:rPr>
      </w:pPr>
      <w:r w:rsidRPr="00E2769D">
        <w:rPr>
          <w:rFonts w:ascii="Lato" w:eastAsia="Times New Roman" w:hAnsi="Lato" w:cs="Times New Roman"/>
          <w:b/>
          <w:bCs/>
          <w:color w:val="595959" w:themeColor="text1" w:themeTint="A6"/>
          <w:sz w:val="22"/>
          <w:szCs w:val="22"/>
          <w:lang w:eastAsia="es-MX"/>
        </w:rPr>
        <w:t>Acuerdos adicionales para la ejecución del Proyecto.</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 xml:space="preserve">FMCN realizará anualmente una auditoría externa del Proyecto que incluya la revisión de las OLLC de subproyectos con una muestra del 20% del total de subproyectos en operación, </w:t>
      </w:r>
      <w:r w:rsidRPr="00E2769D">
        <w:rPr>
          <w:rFonts w:ascii="Lato" w:eastAsia="Times New Roman" w:hAnsi="Lato" w:cs="Times New Roman"/>
          <w:color w:val="595959" w:themeColor="text1" w:themeTint="A6"/>
          <w:sz w:val="22"/>
          <w:szCs w:val="22"/>
          <w:lang w:eastAsia="es-MX"/>
        </w:rPr>
        <w:lastRenderedPageBreak/>
        <w:t>OLLC administradoras, CONABIO y FMCN, la cual se llevará a cabo de acuerdo a los TdR no objetados por el KfW en el anexo 8 del Acuerdo Separado y ser</w:t>
      </w:r>
    </w:p>
    <w:p w:rsidR="00C90843" w:rsidRPr="00E2769D"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30 de junio de cada año durante la vigencia del Proyecto. La auditoría final será pagada en su totalidad y entregada a más tardar el 30 de junio de 2029.</w:t>
      </w:r>
    </w:p>
    <w:p w:rsidR="00C90843" w:rsidRPr="00772301" w:rsidRDefault="00C90843" w:rsidP="00C90843">
      <w:pPr>
        <w:spacing w:before="100" w:beforeAutospacing="1" w:after="100" w:afterAutospacing="1"/>
        <w:jc w:val="both"/>
        <w:rPr>
          <w:rFonts w:ascii="Lato" w:eastAsia="Times New Roman" w:hAnsi="Lato" w:cs="Times New Roman"/>
          <w:color w:val="595959" w:themeColor="text1" w:themeTint="A6"/>
          <w:sz w:val="22"/>
          <w:szCs w:val="22"/>
          <w:lang w:eastAsia="es-MX"/>
        </w:rPr>
      </w:pPr>
      <w:r w:rsidRPr="00E2769D">
        <w:rPr>
          <w:rFonts w:ascii="Lato" w:eastAsia="Times New Roman" w:hAnsi="Lato" w:cs="Times New Roman"/>
          <w:color w:val="595959" w:themeColor="text1" w:themeTint="A6"/>
          <w:sz w:val="22"/>
          <w:szCs w:val="22"/>
          <w:lang w:eastAsia="es-MX"/>
        </w:rPr>
        <w:t>Los bienes y activos que FMCN y las OLLC administradoras de ANP adquieran con recursos del proyecto para el resultado A, serán propiedad de CONANP. La donación de los bienes y activos deberá realizarse antes de la fecha de cierre del proyecto 30 de junio de 2029. Los bienes y activos deberán permanecer en la región del Proyecto.</w:t>
      </w:r>
    </w:p>
    <w:p w:rsidR="00C90843" w:rsidRPr="00A57929" w:rsidRDefault="00C90843" w:rsidP="00C90843">
      <w:pPr>
        <w:rPr>
          <w:lang w:val="es-ES"/>
        </w:rPr>
      </w:pPr>
    </w:p>
    <w:p w:rsidR="00C90843" w:rsidRDefault="00C90843" w:rsidP="00C90843">
      <w:pPr>
        <w:pStyle w:val="Ttulo1"/>
        <w:spacing w:beforeLines="24" w:before="57" w:afterLines="24" w:after="57" w:line="288" w:lineRule="auto"/>
        <w:jc w:val="both"/>
        <w:rPr>
          <w:rFonts w:ascii="Lato" w:hAnsi="Lato"/>
          <w:color w:val="595959" w:themeColor="text1" w:themeTint="A6"/>
          <w:sz w:val="22"/>
          <w:szCs w:val="22"/>
          <w:lang w:val="es-ES"/>
        </w:rPr>
      </w:pPr>
      <w:bookmarkStart w:id="45" w:name="_Toc159420268"/>
      <w:r>
        <w:rPr>
          <w:rFonts w:ascii="Lato" w:hAnsi="Lato"/>
          <w:color w:val="595959" w:themeColor="text1" w:themeTint="A6"/>
          <w:sz w:val="22"/>
          <w:szCs w:val="22"/>
          <w:lang w:val="es-ES"/>
        </w:rPr>
        <w:t>A1.15. Conservación de Cuencas Costeras en el Contexto de Cambio Climático</w:t>
      </w:r>
      <w:bookmarkEnd w:id="43"/>
      <w:bookmarkEnd w:id="45"/>
    </w:p>
    <w:p w:rsidR="00C90843" w:rsidRPr="009257A7"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sidRPr="009257A7">
        <w:rPr>
          <w:rFonts w:ascii="Lato" w:hAnsi="Lato"/>
          <w:color w:val="595959" w:themeColor="text1" w:themeTint="A6"/>
          <w:sz w:val="22"/>
          <w:szCs w:val="22"/>
          <w:lang w:val="es-ES"/>
        </w:rPr>
        <w:t xml:space="preserve">En 2013 la </w:t>
      </w:r>
      <w:r>
        <w:rPr>
          <w:rFonts w:ascii="Lato" w:hAnsi="Lato"/>
          <w:color w:val="595959" w:themeColor="text1" w:themeTint="A6"/>
          <w:sz w:val="22"/>
          <w:szCs w:val="22"/>
          <w:lang w:val="es-ES"/>
        </w:rPr>
        <w:t>Conanp</w:t>
      </w:r>
      <w:r w:rsidRPr="009257A7">
        <w:rPr>
          <w:rFonts w:ascii="Lato" w:hAnsi="Lato"/>
          <w:color w:val="595959" w:themeColor="text1" w:themeTint="A6"/>
          <w:sz w:val="22"/>
          <w:szCs w:val="22"/>
          <w:lang w:val="es-ES"/>
        </w:rPr>
        <w:t>, la C</w:t>
      </w:r>
      <w:r>
        <w:rPr>
          <w:rFonts w:ascii="Lato" w:hAnsi="Lato"/>
          <w:color w:val="595959" w:themeColor="text1" w:themeTint="A6"/>
          <w:sz w:val="22"/>
          <w:szCs w:val="22"/>
          <w:lang w:val="es-ES"/>
        </w:rPr>
        <w:t>onafor</w:t>
      </w:r>
      <w:r w:rsidRPr="009257A7">
        <w:rPr>
          <w:rFonts w:ascii="Lato" w:hAnsi="Lato"/>
          <w:color w:val="595959" w:themeColor="text1" w:themeTint="A6"/>
          <w:sz w:val="22"/>
          <w:szCs w:val="22"/>
          <w:lang w:val="es-ES"/>
        </w:rPr>
        <w:t>, el Instituto Nacional de Ecología y Cambio Climático (INECC) y FMCN decidieron sumar capacidades y esfuerzos en el marco del proyecto “Conservación de Cuencas Costeras en el Contexto de Cambio Climático” (C6). El objetivo del proyecto C6 es promover el manejo integral de las cuencas costeras seleccionadas como un medio para conservar la biodiversidad, contribuir a la mitigación del cambio climático y aumentar la sustentabilidad en el uso de suelo. Para el Golfo de México las instituciones seleccionaron seis cuencas con si</w:t>
      </w:r>
      <w:r>
        <w:rPr>
          <w:rFonts w:ascii="Lato" w:hAnsi="Lato"/>
          <w:color w:val="595959" w:themeColor="text1" w:themeTint="A6"/>
          <w:sz w:val="22"/>
          <w:szCs w:val="22"/>
          <w:lang w:val="es-ES"/>
        </w:rPr>
        <w:t>ete ANP</w:t>
      </w:r>
      <w:r w:rsidRPr="009257A7">
        <w:rPr>
          <w:rFonts w:ascii="Lato" w:hAnsi="Lato"/>
          <w:color w:val="595959" w:themeColor="text1" w:themeTint="A6"/>
          <w:sz w:val="22"/>
          <w:szCs w:val="22"/>
          <w:lang w:val="es-ES"/>
        </w:rPr>
        <w:t xml:space="preserve"> comprendidas dentro de ellas. Para el Golfo de California los responsables del proyecto identificaron diez cuencas prioritarias con cinco ANP. </w:t>
      </w:r>
    </w:p>
    <w:p w:rsidR="00C90843"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sidRPr="009257A7">
        <w:rPr>
          <w:rFonts w:ascii="Lato" w:hAnsi="Lato"/>
          <w:color w:val="595959" w:themeColor="text1" w:themeTint="A6"/>
          <w:sz w:val="22"/>
          <w:szCs w:val="22"/>
          <w:lang w:val="es-ES"/>
        </w:rPr>
        <w:t xml:space="preserve">El apoyo financiero del proyecto C6 es del Fondo para el Medio Ambiente Mundial (GEF por sus siglas en inglés) a través del Banco Mundial y consiste en recursos patrimoniales y de aplicación directa (extinguibles). En 2019 la supervisión del Banco Mundial concluyó con el ejercicio completo de los recursos extinguibles. El manejo financiero de los recursos patrimoniales está a cargo de CONAFOR y de FMCN. En noviembre de 2020 las cuatro instituciones decidieron separar la supervisión del ejercicio de los recursos patrimoniales en tres comités: los recursos a cargo del Fondo Patrimonial de Biodiversidad (FPB) estarán a cargo del Comité del FPB que CONAFOR coordina; los intereses dirigidos a ANP </w:t>
      </w:r>
      <w:r>
        <w:rPr>
          <w:rFonts w:ascii="Lato" w:hAnsi="Lato"/>
          <w:color w:val="595959" w:themeColor="text1" w:themeTint="A6"/>
          <w:sz w:val="22"/>
          <w:szCs w:val="22"/>
          <w:lang w:val="es-ES"/>
        </w:rPr>
        <w:t>son</w:t>
      </w:r>
      <w:r w:rsidRPr="009257A7">
        <w:rPr>
          <w:rFonts w:ascii="Lato" w:hAnsi="Lato"/>
          <w:color w:val="595959" w:themeColor="text1" w:themeTint="A6"/>
          <w:sz w:val="22"/>
          <w:szCs w:val="22"/>
          <w:lang w:val="es-ES"/>
        </w:rPr>
        <w:t xml:space="preserve"> supervisados por el CTFANP en FMCN, mientras que los intereses dirigidos a los Planes de Acción de Manejo Integral de Cuencas</w:t>
      </w:r>
      <w:r>
        <w:rPr>
          <w:rFonts w:ascii="Lato" w:hAnsi="Lato"/>
          <w:color w:val="595959" w:themeColor="text1" w:themeTint="A6"/>
          <w:sz w:val="22"/>
          <w:szCs w:val="22"/>
          <w:lang w:val="es-ES"/>
        </w:rPr>
        <w:t xml:space="preserve"> (PAMIC)</w:t>
      </w:r>
      <w:r w:rsidRPr="009257A7">
        <w:rPr>
          <w:rFonts w:ascii="Lato" w:hAnsi="Lato"/>
          <w:color w:val="595959" w:themeColor="text1" w:themeTint="A6"/>
          <w:sz w:val="22"/>
          <w:szCs w:val="22"/>
          <w:lang w:val="es-ES"/>
        </w:rPr>
        <w:t xml:space="preserve">, monitoreo, colaboración interinstitucional y participación social serán supervisados por el </w:t>
      </w:r>
      <w:r>
        <w:rPr>
          <w:rFonts w:ascii="Lato" w:hAnsi="Lato"/>
          <w:color w:val="595959" w:themeColor="text1" w:themeTint="A6"/>
          <w:sz w:val="22"/>
          <w:szCs w:val="22"/>
          <w:lang w:val="es-ES"/>
        </w:rPr>
        <w:t>Comité para Paisajes Productivos (CPP).</w:t>
      </w:r>
    </w:p>
    <w:p w:rsidR="00C90843"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p>
    <w:p w:rsidR="00C90843"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Pr>
          <w:rFonts w:ascii="Lato" w:hAnsi="Lato"/>
          <w:color w:val="595959" w:themeColor="text1" w:themeTint="A6"/>
          <w:sz w:val="22"/>
          <w:szCs w:val="22"/>
          <w:lang w:val="es-ES"/>
        </w:rPr>
        <w:lastRenderedPageBreak/>
        <w:t>En cuanto al patrimonio de C6 custodiado por FMCN, el 54% de los intereses anuales es canalizado a las siete ANP a través de POA administrados por los fondos regionales Fondo Golfo de México (FGM) y FONNOR, los cuales también son responsables de la supervisión técnica</w:t>
      </w:r>
      <w:r w:rsidRPr="009257A7">
        <w:rPr>
          <w:rFonts w:ascii="Lato" w:hAnsi="Lato"/>
          <w:color w:val="595959" w:themeColor="text1" w:themeTint="A6"/>
          <w:sz w:val="22"/>
          <w:szCs w:val="22"/>
          <w:lang w:val="es-ES"/>
        </w:rPr>
        <w:t>.</w:t>
      </w:r>
      <w:r>
        <w:rPr>
          <w:rFonts w:ascii="Lato" w:hAnsi="Lato"/>
          <w:color w:val="595959" w:themeColor="text1" w:themeTint="A6"/>
          <w:sz w:val="22"/>
          <w:szCs w:val="22"/>
          <w:lang w:val="es-ES"/>
        </w:rPr>
        <w:t xml:space="preserve"> Estos POA deben ser aprobados por el CTFANP para ser financiados.</w:t>
      </w:r>
      <w:r w:rsidRPr="009257A7">
        <w:rPr>
          <w:rFonts w:ascii="Lato" w:hAnsi="Lato"/>
          <w:color w:val="595959" w:themeColor="text1" w:themeTint="A6"/>
          <w:sz w:val="22"/>
          <w:szCs w:val="22"/>
          <w:lang w:val="es-ES"/>
        </w:rPr>
        <w:t xml:space="preserve"> </w:t>
      </w:r>
      <w:r>
        <w:rPr>
          <w:rFonts w:ascii="Lato" w:hAnsi="Lato"/>
          <w:color w:val="595959" w:themeColor="text1" w:themeTint="A6"/>
          <w:sz w:val="22"/>
          <w:szCs w:val="22"/>
          <w:lang w:val="es-ES"/>
        </w:rPr>
        <w:t>El 40% de los intereses anuales es administrado por FGM y FONNOR a través de POA para apoyar el diseño de proyecto en apoyo a los PAMIC</w:t>
      </w:r>
      <w:r w:rsidRPr="009257A7">
        <w:rPr>
          <w:rFonts w:ascii="Lato" w:hAnsi="Lato"/>
          <w:color w:val="595959" w:themeColor="text1" w:themeTint="A6"/>
          <w:sz w:val="22"/>
          <w:szCs w:val="22"/>
          <w:lang w:val="es-ES"/>
        </w:rPr>
        <w:t>, monitoreo, colaboración interinstitucional y participación social</w:t>
      </w:r>
      <w:r>
        <w:rPr>
          <w:rFonts w:ascii="Lato" w:hAnsi="Lato"/>
          <w:color w:val="595959" w:themeColor="text1" w:themeTint="A6"/>
          <w:sz w:val="22"/>
          <w:szCs w:val="22"/>
          <w:lang w:val="es-ES"/>
        </w:rPr>
        <w:t xml:space="preserve">. Estos POA deben ser aprobados por el CPP. El 6% de los intereses anuales es canalizado al manejo del proyecto dentro de FMCN. </w:t>
      </w:r>
    </w:p>
    <w:p w:rsidR="00C90843"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p>
    <w:p w:rsidR="00C90843" w:rsidRDefault="00C90843" w:rsidP="00C90843">
      <w:pPr>
        <w:pStyle w:val="Ttulo1"/>
        <w:spacing w:beforeLines="24" w:before="57" w:afterLines="24" w:after="57" w:line="288" w:lineRule="auto"/>
        <w:jc w:val="both"/>
        <w:rPr>
          <w:rFonts w:ascii="Lato" w:hAnsi="Lato"/>
          <w:color w:val="595959" w:themeColor="text1" w:themeTint="A6"/>
          <w:sz w:val="22"/>
          <w:szCs w:val="22"/>
          <w:lang w:val="es-ES"/>
        </w:rPr>
      </w:pPr>
      <w:bookmarkStart w:id="46" w:name="_Toc95218423"/>
      <w:bookmarkStart w:id="47" w:name="_Toc134463617"/>
      <w:bookmarkStart w:id="48" w:name="_Toc159420269"/>
      <w:r>
        <w:rPr>
          <w:rFonts w:ascii="Lato" w:hAnsi="Lato"/>
          <w:color w:val="595959" w:themeColor="text1" w:themeTint="A6"/>
          <w:sz w:val="22"/>
          <w:szCs w:val="22"/>
          <w:lang w:val="es-ES"/>
        </w:rPr>
        <w:t>A1.</w:t>
      </w:r>
      <w:r w:rsidRPr="00E2162E">
        <w:rPr>
          <w:rFonts w:ascii="Lato" w:hAnsi="Lato"/>
          <w:color w:val="595959" w:themeColor="text1" w:themeTint="A6"/>
          <w:sz w:val="22"/>
          <w:szCs w:val="22"/>
          <w:lang w:val="es-ES"/>
        </w:rPr>
        <w:t>1</w:t>
      </w:r>
      <w:r>
        <w:rPr>
          <w:rFonts w:ascii="Lato" w:hAnsi="Lato"/>
          <w:color w:val="595959" w:themeColor="text1" w:themeTint="A6"/>
          <w:sz w:val="22"/>
          <w:szCs w:val="22"/>
          <w:lang w:val="es-ES"/>
        </w:rPr>
        <w:t>6</w:t>
      </w:r>
      <w:r w:rsidRPr="00E2162E">
        <w:rPr>
          <w:rFonts w:ascii="Lato" w:hAnsi="Lato"/>
          <w:color w:val="595959" w:themeColor="text1" w:themeTint="A6"/>
          <w:sz w:val="22"/>
          <w:szCs w:val="22"/>
          <w:lang w:val="es-ES"/>
        </w:rPr>
        <w:t xml:space="preserve">. </w:t>
      </w:r>
      <w:r>
        <w:rPr>
          <w:rFonts w:ascii="Lato" w:hAnsi="Lato"/>
          <w:color w:val="595959" w:themeColor="text1" w:themeTint="A6"/>
          <w:sz w:val="22"/>
          <w:szCs w:val="22"/>
          <w:lang w:val="es-ES"/>
        </w:rPr>
        <w:t>CONECTA</w:t>
      </w:r>
      <w:bookmarkEnd w:id="46"/>
      <w:bookmarkEnd w:id="47"/>
      <w:bookmarkEnd w:id="48"/>
    </w:p>
    <w:p w:rsidR="00C90843"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sidRPr="00783446">
        <w:rPr>
          <w:rFonts w:ascii="Lato" w:hAnsi="Lato"/>
          <w:color w:val="595959" w:themeColor="text1" w:themeTint="A6"/>
          <w:sz w:val="22"/>
          <w:szCs w:val="22"/>
          <w:lang w:val="es-ES"/>
        </w:rPr>
        <w:t>El objetivo del proyecto CONECTA es apoyar sistemas ganaderos y agroforestales sustentables en el manejo integral de cuencas vulnerables al cambio climático en Chiapas, Chihuahua, Jalisco y Veracruz. Su financiamiento, como en el proyecto C6, proviene del GEF a través del Banco Mundial. En el marco del proyecto CONECTA, INECC estableció el Comité Coordinador. Éste cuenta con la participación de: INECC; la Secretaría de Medio Ambiente y Recursos Naturales (SEMARNAT); la Secretaría de Agricultura y Desarrollo Rural (SADER); la Secretaría de Bienestar (BIENESTAR); CONAFOR; CONANP; la Comisión Nacional del Agua (CONAGUA); la Comisión Nacional para el Conocimiento y Uso de la Biodiversidad (CONABIO); el Instituto Mexicano de Tecnología del Agua (IMTA); Fideicomisos Instituidos en Relación con la Agricultura (FIRA), y FMCN. El CPP informa al Comité Coordinador sobre los avances del proyecto CONECTA con el fin de apoyar la coordinación del trabajo entre las agencias participantes y promover la colaboración para avanzar y alinear políticas públicas e inversiones hacia la producción sostenible en sistemas ganaderos y agroforestales.</w:t>
      </w:r>
    </w:p>
    <w:p w:rsidR="00C90843"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Pr>
          <w:rFonts w:ascii="Lato" w:hAnsi="Lato"/>
          <w:color w:val="595959" w:themeColor="text1" w:themeTint="A6"/>
          <w:sz w:val="22"/>
          <w:szCs w:val="22"/>
          <w:lang w:val="es-ES"/>
        </w:rPr>
        <w:t xml:space="preserve">CONECTA cuenta con su propio Manual de Operaciones, que puede ser consultado en </w:t>
      </w:r>
      <w:hyperlink r:id="rId18" w:history="1">
        <w:r w:rsidRPr="00F2236C">
          <w:rPr>
            <w:rStyle w:val="Hipervnculo"/>
            <w:rFonts w:ascii="Lato" w:hAnsi="Lato"/>
            <w:sz w:val="22"/>
            <w:szCs w:val="22"/>
            <w:lang w:val="es-ES"/>
          </w:rPr>
          <w:t>https://www.fmcn.org/es/proyectos/conecta</w:t>
        </w:r>
      </w:hyperlink>
      <w:bookmarkStart w:id="49" w:name="_Toc95218424"/>
    </w:p>
    <w:p w:rsidR="00C90843"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p>
    <w:p w:rsidR="00C90843" w:rsidRPr="008336D8" w:rsidRDefault="00C90843" w:rsidP="00C90843">
      <w:pPr>
        <w:pStyle w:val="Ttulo1"/>
        <w:spacing w:beforeLines="24" w:before="57" w:afterLines="24" w:after="57" w:line="288" w:lineRule="auto"/>
        <w:jc w:val="both"/>
        <w:rPr>
          <w:rFonts w:ascii="Lato" w:hAnsi="Lato"/>
          <w:color w:val="595959" w:themeColor="text1" w:themeTint="A6"/>
          <w:sz w:val="22"/>
          <w:szCs w:val="22"/>
          <w:lang w:val="es-ES"/>
        </w:rPr>
      </w:pPr>
      <w:bookmarkStart w:id="50" w:name="_Toc159420270"/>
      <w:r>
        <w:rPr>
          <w:rFonts w:ascii="Lato" w:hAnsi="Lato"/>
          <w:color w:val="595959" w:themeColor="text1" w:themeTint="A6"/>
          <w:sz w:val="22"/>
          <w:szCs w:val="22"/>
          <w:lang w:val="es-ES"/>
        </w:rPr>
        <w:t>A1.</w:t>
      </w:r>
      <w:r w:rsidRPr="00E2162E">
        <w:rPr>
          <w:rFonts w:ascii="Lato" w:hAnsi="Lato"/>
          <w:color w:val="595959" w:themeColor="text1" w:themeTint="A6"/>
          <w:sz w:val="22"/>
          <w:szCs w:val="22"/>
          <w:lang w:val="es-ES"/>
        </w:rPr>
        <w:t>1</w:t>
      </w:r>
      <w:r>
        <w:rPr>
          <w:rFonts w:ascii="Lato" w:hAnsi="Lato"/>
          <w:color w:val="595959" w:themeColor="text1" w:themeTint="A6"/>
          <w:sz w:val="22"/>
          <w:szCs w:val="22"/>
          <w:lang w:val="es-ES"/>
        </w:rPr>
        <w:t>7</w:t>
      </w:r>
      <w:r w:rsidRPr="00E2162E">
        <w:rPr>
          <w:rFonts w:ascii="Lato" w:hAnsi="Lato"/>
          <w:color w:val="595959" w:themeColor="text1" w:themeTint="A6"/>
          <w:sz w:val="22"/>
          <w:szCs w:val="22"/>
          <w:lang w:val="es-ES"/>
        </w:rPr>
        <w:t>. RÍOS</w:t>
      </w:r>
      <w:bookmarkEnd w:id="49"/>
      <w:bookmarkEnd w:id="50"/>
    </w:p>
    <w:p w:rsidR="00C90843" w:rsidRDefault="00C90843" w:rsidP="00C90843">
      <w:pPr>
        <w:spacing w:beforeLines="24" w:before="57" w:afterLines="24" w:after="57" w:line="288" w:lineRule="auto"/>
        <w:jc w:val="both"/>
        <w:rPr>
          <w:rFonts w:ascii="Calibri" w:eastAsia="Calibri" w:hAnsi="Calibri" w:cs="Times New Roman"/>
          <w:lang w:val="es-ES"/>
        </w:rPr>
      </w:pPr>
    </w:p>
    <w:p w:rsidR="00C90843"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sidRPr="00043AD9">
        <w:rPr>
          <w:rFonts w:ascii="Lato" w:hAnsi="Lato"/>
          <w:color w:val="595959" w:themeColor="text1" w:themeTint="A6"/>
          <w:sz w:val="22"/>
          <w:szCs w:val="22"/>
          <w:lang w:val="es-ES"/>
        </w:rPr>
        <w:t>El objetivo del proyecto RÍOS es incrementar la capacidad adaptativa de las personas y los ecosistemas en cuencas vulnerables al cambio climático, a través de la restauración de ríos. Su financiamiento proviene del Fondo Verde para el Clima (GCF por sus si</w:t>
      </w:r>
      <w:r>
        <w:rPr>
          <w:rFonts w:ascii="Lato" w:hAnsi="Lato"/>
          <w:color w:val="595959" w:themeColor="text1" w:themeTint="A6"/>
          <w:sz w:val="22"/>
          <w:szCs w:val="22"/>
          <w:lang w:val="es-ES"/>
        </w:rPr>
        <w:t>glas en inglé</w:t>
      </w:r>
      <w:r w:rsidRPr="00043AD9">
        <w:rPr>
          <w:rFonts w:ascii="Lato" w:hAnsi="Lato"/>
          <w:color w:val="595959" w:themeColor="text1" w:themeTint="A6"/>
          <w:sz w:val="22"/>
          <w:szCs w:val="22"/>
          <w:lang w:val="es-ES"/>
        </w:rPr>
        <w:t xml:space="preserve">s) a través de FMCN. </w:t>
      </w:r>
    </w:p>
    <w:p w:rsidR="00C90843"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Pr>
          <w:rFonts w:ascii="Lato" w:hAnsi="Lato"/>
          <w:color w:val="595959" w:themeColor="text1" w:themeTint="A6"/>
          <w:sz w:val="22"/>
          <w:szCs w:val="22"/>
          <w:lang w:val="es-ES"/>
        </w:rPr>
        <w:t xml:space="preserve">RÍOS cuenta con su propio Manual de Operaciones, que puede ser consultado en </w:t>
      </w:r>
      <w:r w:rsidRPr="00814EB4">
        <w:rPr>
          <w:rFonts w:ascii="Lato" w:hAnsi="Lato"/>
          <w:color w:val="595959" w:themeColor="text1" w:themeTint="A6"/>
          <w:sz w:val="22"/>
          <w:szCs w:val="22"/>
          <w:lang w:val="es-ES"/>
        </w:rPr>
        <w:t>ht</w:t>
      </w:r>
      <w:r>
        <w:rPr>
          <w:rFonts w:ascii="Lato" w:hAnsi="Lato"/>
          <w:color w:val="595959" w:themeColor="text1" w:themeTint="A6"/>
          <w:sz w:val="22"/>
          <w:szCs w:val="22"/>
          <w:lang w:val="es-ES"/>
        </w:rPr>
        <w:t>tps://www.fmcn.org/es/proyectos/rios</w:t>
      </w:r>
      <w:bookmarkStart w:id="51" w:name="_Toc95218425"/>
    </w:p>
    <w:p w:rsidR="00C90843" w:rsidRPr="00982E7B"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p>
    <w:p w:rsidR="00C90843" w:rsidRDefault="00C90843" w:rsidP="00C90843">
      <w:pPr>
        <w:pStyle w:val="Ttulo1"/>
        <w:spacing w:beforeLines="24" w:before="57" w:afterLines="24" w:after="57" w:line="288" w:lineRule="auto"/>
        <w:jc w:val="both"/>
        <w:rPr>
          <w:rFonts w:ascii="Lato" w:hAnsi="Lato"/>
          <w:color w:val="595959" w:themeColor="text1" w:themeTint="A6"/>
          <w:sz w:val="22"/>
          <w:szCs w:val="22"/>
          <w:lang w:val="es-ES"/>
        </w:rPr>
      </w:pPr>
      <w:bookmarkStart w:id="52" w:name="_Toc159420271"/>
      <w:r>
        <w:rPr>
          <w:rFonts w:ascii="Lato" w:hAnsi="Lato"/>
          <w:color w:val="595959" w:themeColor="text1" w:themeTint="A6"/>
          <w:sz w:val="22"/>
          <w:szCs w:val="22"/>
          <w:lang w:val="es-ES"/>
        </w:rPr>
        <w:t>A1.</w:t>
      </w:r>
      <w:r w:rsidRPr="00E2162E">
        <w:rPr>
          <w:rFonts w:ascii="Lato" w:hAnsi="Lato"/>
          <w:color w:val="595959" w:themeColor="text1" w:themeTint="A6"/>
          <w:sz w:val="22"/>
          <w:szCs w:val="22"/>
          <w:lang w:val="es-ES"/>
        </w:rPr>
        <w:t>1</w:t>
      </w:r>
      <w:r>
        <w:rPr>
          <w:rFonts w:ascii="Lato" w:hAnsi="Lato"/>
          <w:color w:val="595959" w:themeColor="text1" w:themeTint="A6"/>
          <w:sz w:val="22"/>
          <w:szCs w:val="22"/>
          <w:lang w:val="es-ES"/>
        </w:rPr>
        <w:t>8</w:t>
      </w:r>
      <w:r w:rsidRPr="00E2162E">
        <w:rPr>
          <w:rFonts w:ascii="Lato" w:hAnsi="Lato"/>
          <w:color w:val="595959" w:themeColor="text1" w:themeTint="A6"/>
          <w:sz w:val="22"/>
          <w:szCs w:val="22"/>
          <w:lang w:val="es-ES"/>
        </w:rPr>
        <w:t>. Fondo Jorge de Alba</w:t>
      </w:r>
      <w:bookmarkEnd w:id="51"/>
      <w:bookmarkEnd w:id="52"/>
    </w:p>
    <w:p w:rsidR="00C90843" w:rsidRDefault="00C90843" w:rsidP="00C90843">
      <w:pPr>
        <w:spacing w:beforeLines="24" w:before="57" w:afterLines="24" w:after="57" w:line="288" w:lineRule="auto"/>
        <w:jc w:val="both"/>
        <w:rPr>
          <w:lang w:val="es-ES"/>
        </w:rPr>
      </w:pPr>
    </w:p>
    <w:p w:rsidR="00C90843" w:rsidRPr="003E1019" w:rsidRDefault="00C90843" w:rsidP="00C90843">
      <w:pPr>
        <w:spacing w:beforeLines="24" w:before="57" w:afterLines="24" w:after="57" w:line="288" w:lineRule="auto"/>
        <w:jc w:val="both"/>
        <w:rPr>
          <w:rFonts w:ascii="Lato" w:hAnsi="Lato"/>
          <w:color w:val="595959" w:themeColor="text1" w:themeTint="A6"/>
          <w:sz w:val="22"/>
          <w:szCs w:val="22"/>
          <w:lang w:val="es-ES"/>
        </w:rPr>
      </w:pPr>
      <w:r w:rsidRPr="003E1019">
        <w:rPr>
          <w:rFonts w:ascii="Lato" w:hAnsi="Lato"/>
          <w:color w:val="595959" w:themeColor="text1" w:themeTint="A6"/>
          <w:sz w:val="22"/>
          <w:szCs w:val="22"/>
          <w:lang w:val="es-ES"/>
        </w:rPr>
        <w:t>El Fondo Jorge de Alba fue establecido por la Asociación Mexicana de Producción Animal, A.C. (AMPA) en FMCN con el objetivo de apoyar la ciencia aplicada y divulgación de la zootecnia tropical de América. AMPA y sus aliados llevan a cabo investigación acerca de la crianza de bovinos criollos que están mejor adaptados a los climas tropicales que otras razas europeas. FMCN se encarga de dar manejo financiero al patrimonio aportado por AMPA y canaliza los rendimientos anuales a AMPA para facilitar la investigación y comunicación de largo plazo en temas relevantes para la crianza de bovinos criollos. El Fondo Jorge de Alba cuenta con un Comité Técnico que cada año define las actividades en las que se aplicarán los rendimientos generados en el año. A través de un contrato de donación, FMCN otorga los recursos para apoyar las actividades anuales enfocadas en objetivos relacionados con la crianza de bovinos criollos.</w:t>
      </w:r>
    </w:p>
    <w:p w:rsidR="00C90843" w:rsidRPr="00E2162E" w:rsidRDefault="00C90843" w:rsidP="00C90843">
      <w:pPr>
        <w:spacing w:beforeLines="24" w:before="57" w:afterLines="24" w:after="57" w:line="288" w:lineRule="auto"/>
        <w:jc w:val="both"/>
        <w:rPr>
          <w:rFonts w:ascii="Calibri" w:eastAsia="Calibri" w:hAnsi="Calibri" w:cs="Times New Roman"/>
          <w:lang w:val="es-ES"/>
        </w:rPr>
      </w:pPr>
    </w:p>
    <w:p w:rsidR="00C90843" w:rsidRPr="008336D8" w:rsidRDefault="00C90843" w:rsidP="00C90843">
      <w:pPr>
        <w:pStyle w:val="Ttulo1"/>
        <w:spacing w:beforeLines="24" w:before="57" w:afterLines="24" w:after="57" w:line="288" w:lineRule="auto"/>
        <w:jc w:val="both"/>
        <w:rPr>
          <w:rFonts w:ascii="Lato" w:hAnsi="Lato"/>
          <w:color w:val="595959" w:themeColor="text1" w:themeTint="A6"/>
          <w:sz w:val="22"/>
          <w:szCs w:val="22"/>
          <w:lang w:val="es-ES"/>
        </w:rPr>
      </w:pPr>
      <w:bookmarkStart w:id="53" w:name="_Toc95218426"/>
      <w:bookmarkStart w:id="54" w:name="_Toc159420272"/>
      <w:r>
        <w:rPr>
          <w:rFonts w:ascii="Lato" w:hAnsi="Lato"/>
          <w:color w:val="595959" w:themeColor="text1" w:themeTint="A6"/>
          <w:sz w:val="22"/>
          <w:szCs w:val="22"/>
          <w:lang w:val="es-ES"/>
        </w:rPr>
        <w:t>A1.19</w:t>
      </w:r>
      <w:r w:rsidRPr="00E2162E">
        <w:rPr>
          <w:rFonts w:ascii="Lato" w:hAnsi="Lato"/>
          <w:color w:val="595959" w:themeColor="text1" w:themeTint="A6"/>
          <w:sz w:val="22"/>
          <w:szCs w:val="22"/>
          <w:lang w:val="es-ES"/>
        </w:rPr>
        <w:t>. Cuencas y Ciudades</w:t>
      </w:r>
      <w:bookmarkEnd w:id="53"/>
      <w:bookmarkEnd w:id="54"/>
    </w:p>
    <w:p w:rsidR="00C90843"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p>
    <w:p w:rsidR="00C90843"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sidRPr="00A611F8">
        <w:rPr>
          <w:rFonts w:ascii="Lato" w:hAnsi="Lato"/>
          <w:color w:val="595959" w:themeColor="text1" w:themeTint="A6"/>
          <w:sz w:val="22"/>
          <w:szCs w:val="22"/>
          <w:lang w:val="es-ES"/>
        </w:rPr>
        <w:t xml:space="preserve">El </w:t>
      </w:r>
      <w:r>
        <w:rPr>
          <w:rFonts w:ascii="Lato" w:hAnsi="Lato"/>
          <w:color w:val="595959" w:themeColor="text1" w:themeTint="A6"/>
          <w:sz w:val="22"/>
          <w:szCs w:val="22"/>
          <w:lang w:val="es-ES"/>
        </w:rPr>
        <w:t xml:space="preserve">Proyecto de Cuencas y Ciudades (PCyC) </w:t>
      </w:r>
      <w:r w:rsidRPr="00A611F8">
        <w:rPr>
          <w:rFonts w:ascii="Lato" w:hAnsi="Lato"/>
          <w:color w:val="595959" w:themeColor="text1" w:themeTint="A6"/>
          <w:sz w:val="22"/>
          <w:szCs w:val="22"/>
          <w:lang w:val="es-ES"/>
        </w:rPr>
        <w:t>busca construir y optimizar modelos de colaboración para fortalecer la salud de las cuencas y mejorar el ciclo hidrológico, con el propósito de mitigar los desequilibrios en la oferta, demanda y provisión del agua en las escalas locales y regionales. El proyecto opera en cuencas que abastecen a 11 ciudades del país.</w:t>
      </w:r>
    </w:p>
    <w:p w:rsidR="00C90843" w:rsidRPr="00A611F8" w:rsidRDefault="00C90843" w:rsidP="00C90843">
      <w:pPr>
        <w:spacing w:beforeLines="24" w:before="57" w:afterLines="24" w:after="57" w:line="288" w:lineRule="auto"/>
        <w:jc w:val="both"/>
        <w:rPr>
          <w:rFonts w:ascii="Lato" w:hAnsi="Lato"/>
          <w:color w:val="595959" w:themeColor="text1" w:themeTint="A6"/>
          <w:sz w:val="22"/>
          <w:szCs w:val="22"/>
          <w:lang w:val="es-ES"/>
        </w:rPr>
      </w:pPr>
      <w:r w:rsidRPr="00A611F8">
        <w:rPr>
          <w:rFonts w:ascii="Lato" w:hAnsi="Lato"/>
          <w:color w:val="595959" w:themeColor="text1" w:themeTint="A6"/>
          <w:sz w:val="22"/>
          <w:szCs w:val="22"/>
          <w:lang w:val="es-ES"/>
        </w:rPr>
        <w:t xml:space="preserve">En cada cuenca seleccionada, FMCN construye alianzas con un socio local que trabaja en torno a cinco líneas estratégicas: i) Comunicación y Sensibilización, que propicia un cambio de comportamiento en actores clave de la sociedad; ii) Creación y consolidación de Espacios de Concertación y Coordinación multisectoriales, para fortalecer las capacidades de los actores locales y favorecer la gestión integral de la cuenca; iii) Desarrollo de Mecanismos de Financiamiento y Apoyo, el cual contribuye a dar viabilidad a las actividades de manejo de cuencas en el largo plazo; iv) Implementación de acciones en campo para el manejo integral de la cuenca, que incrementan el conocimiento de las cuencas, la salud de las mismas y el bienestar de las comunidades propietarias de los recursos naturales; y v) una Comunidad de Aprendizaje, la cual fomenta y capitaliza los aprendizajes de los socios, intercambia, difunde experiencias y promueve la adopción de buenas prácticas en favor de la gestión integral del agua y las cuencas. </w:t>
      </w:r>
    </w:p>
    <w:p w:rsidR="00C90843" w:rsidRDefault="00C90843" w:rsidP="00C90843">
      <w:pPr>
        <w:spacing w:beforeLines="24" w:before="57" w:afterLines="24" w:after="57" w:line="288" w:lineRule="auto"/>
        <w:jc w:val="both"/>
        <w:rPr>
          <w:rFonts w:ascii="Lato" w:hAnsi="Lato"/>
          <w:color w:val="595959" w:themeColor="text1" w:themeTint="A6"/>
          <w:sz w:val="22"/>
          <w:szCs w:val="22"/>
          <w:lang w:val="es-ES"/>
        </w:rPr>
      </w:pPr>
      <w:r w:rsidRPr="00A611F8">
        <w:rPr>
          <w:rFonts w:ascii="Lato" w:hAnsi="Lato"/>
          <w:color w:val="595959" w:themeColor="text1" w:themeTint="A6"/>
          <w:sz w:val="22"/>
          <w:szCs w:val="22"/>
          <w:lang w:val="es-ES"/>
        </w:rPr>
        <w:lastRenderedPageBreak/>
        <w:t>El PCyC contempla el apoyo financiero, técnico e institucional de mediano y largo plazo con recursos extinguibles de diversas fuentes, de tal forma que los contratos de transferencia de recursos con las organizaciones socias son multianuales. Tanto el diseño como el seguimiento a los sub</w:t>
      </w:r>
      <w:r>
        <w:rPr>
          <w:rFonts w:ascii="Lato" w:hAnsi="Lato"/>
          <w:color w:val="595959" w:themeColor="text1" w:themeTint="A6"/>
          <w:sz w:val="22"/>
          <w:szCs w:val="22"/>
          <w:lang w:val="es-ES"/>
        </w:rPr>
        <w:t>-</w:t>
      </w:r>
      <w:r w:rsidRPr="00A611F8">
        <w:rPr>
          <w:rFonts w:ascii="Lato" w:hAnsi="Lato"/>
          <w:color w:val="595959" w:themeColor="text1" w:themeTint="A6"/>
          <w:sz w:val="22"/>
          <w:szCs w:val="22"/>
          <w:lang w:val="es-ES"/>
        </w:rPr>
        <w:t xml:space="preserve">proyectos se apegan a los lineamientos contenidos en el Manual </w:t>
      </w:r>
      <w:r>
        <w:rPr>
          <w:rFonts w:ascii="Lato" w:hAnsi="Lato"/>
          <w:color w:val="595959" w:themeColor="text1" w:themeTint="A6"/>
          <w:sz w:val="22"/>
          <w:szCs w:val="22"/>
          <w:lang w:val="es-ES"/>
        </w:rPr>
        <w:t>de Operaciones de FMCN</w:t>
      </w:r>
      <w:r w:rsidRPr="00A611F8">
        <w:rPr>
          <w:rFonts w:ascii="Lato" w:hAnsi="Lato"/>
          <w:color w:val="595959" w:themeColor="text1" w:themeTint="A6"/>
          <w:sz w:val="22"/>
          <w:szCs w:val="22"/>
          <w:lang w:val="es-ES"/>
        </w:rPr>
        <w:t>.</w:t>
      </w:r>
    </w:p>
    <w:p w:rsidR="00C90843" w:rsidRDefault="00C90843" w:rsidP="00C90843">
      <w:pPr>
        <w:spacing w:beforeLines="24" w:before="57" w:afterLines="24" w:after="57" w:line="288" w:lineRule="auto"/>
        <w:jc w:val="both"/>
        <w:rPr>
          <w:rFonts w:ascii="Lato" w:hAnsi="Lato"/>
          <w:color w:val="595959" w:themeColor="text1" w:themeTint="A6"/>
          <w:sz w:val="22"/>
          <w:szCs w:val="22"/>
          <w:lang w:val="es-ES"/>
        </w:rPr>
      </w:pPr>
    </w:p>
    <w:p w:rsidR="00C90843" w:rsidRPr="00C93240" w:rsidRDefault="00C90843" w:rsidP="00C90843">
      <w:pPr>
        <w:pStyle w:val="Ttulo1"/>
        <w:spacing w:beforeLines="24" w:before="57" w:afterLines="24" w:after="57" w:line="288" w:lineRule="auto"/>
        <w:jc w:val="both"/>
        <w:rPr>
          <w:rFonts w:ascii="Lato" w:hAnsi="Lato"/>
          <w:color w:val="595959" w:themeColor="text1" w:themeTint="A6"/>
          <w:sz w:val="22"/>
          <w:szCs w:val="22"/>
          <w:lang w:val="es-ES"/>
        </w:rPr>
      </w:pPr>
      <w:bookmarkStart w:id="55" w:name="_Toc95218427"/>
      <w:bookmarkStart w:id="56" w:name="_Toc159420273"/>
      <w:r>
        <w:rPr>
          <w:rFonts w:ascii="Lato" w:hAnsi="Lato"/>
          <w:color w:val="595959" w:themeColor="text1" w:themeTint="A6"/>
          <w:sz w:val="22"/>
          <w:szCs w:val="22"/>
          <w:lang w:val="es-ES"/>
        </w:rPr>
        <w:t>A1.</w:t>
      </w:r>
      <w:r w:rsidRPr="00E2162E">
        <w:rPr>
          <w:rFonts w:ascii="Lato" w:hAnsi="Lato"/>
          <w:color w:val="595959" w:themeColor="text1" w:themeTint="A6"/>
          <w:sz w:val="22"/>
          <w:szCs w:val="22"/>
          <w:lang w:val="es-ES"/>
        </w:rPr>
        <w:t>2</w:t>
      </w:r>
      <w:r>
        <w:rPr>
          <w:rFonts w:ascii="Lato" w:hAnsi="Lato"/>
          <w:color w:val="595959" w:themeColor="text1" w:themeTint="A6"/>
          <w:sz w:val="22"/>
          <w:szCs w:val="22"/>
          <w:lang w:val="es-ES"/>
        </w:rPr>
        <w:t>0</w:t>
      </w:r>
      <w:r w:rsidRPr="00E2162E">
        <w:rPr>
          <w:rFonts w:ascii="Lato" w:hAnsi="Lato"/>
          <w:color w:val="595959" w:themeColor="text1" w:themeTint="A6"/>
          <w:sz w:val="22"/>
          <w:szCs w:val="22"/>
          <w:lang w:val="es-ES"/>
        </w:rPr>
        <w:t>. Alianza Kanan Kay</w:t>
      </w:r>
      <w:bookmarkEnd w:id="55"/>
      <w:bookmarkEnd w:id="56"/>
    </w:p>
    <w:p w:rsidR="00C90843" w:rsidRDefault="00C90843" w:rsidP="00C90843">
      <w:pPr>
        <w:spacing w:beforeLines="24" w:before="57" w:afterLines="24" w:after="57" w:line="288" w:lineRule="auto"/>
        <w:jc w:val="both"/>
        <w:rPr>
          <w:rFonts w:ascii="Calibri" w:eastAsia="Calibri" w:hAnsi="Calibri" w:cs="Times New Roman"/>
          <w:lang w:val="es-ES"/>
        </w:rPr>
      </w:pPr>
    </w:p>
    <w:p w:rsidR="00C90843" w:rsidRPr="005971F6"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sidRPr="005971F6">
        <w:rPr>
          <w:rFonts w:ascii="Lato" w:hAnsi="Lato"/>
          <w:color w:val="595959" w:themeColor="text1" w:themeTint="A6"/>
          <w:sz w:val="22"/>
          <w:szCs w:val="22"/>
          <w:lang w:val="es-ES"/>
        </w:rPr>
        <w:t>En 2011 se formó la Alianza Kanan Kay como una iniciativa de colaboración intersectorial conformada por cooperativas pesqueras, organizaciones de la sociedad civil, fundaciones, entidades de gobierno, centro de investigación y consultores independientes, con el objetivo de establecer una red efectiva de zonas de refugio pesquero que proteja las aguas del mar territorial del Caribe mexicano y contribuya a la recuperación de las pesquerías en pequeña escala que se encuentran sobreexplotadas.</w:t>
      </w:r>
    </w:p>
    <w:p w:rsidR="00C90843" w:rsidRPr="005971F6"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Pr>
          <w:rFonts w:ascii="Lato" w:hAnsi="Lato"/>
          <w:color w:val="595959" w:themeColor="text1" w:themeTint="A6"/>
          <w:sz w:val="22"/>
          <w:szCs w:val="22"/>
          <w:lang w:val="es-ES"/>
        </w:rPr>
        <w:t>L</w:t>
      </w:r>
      <w:r w:rsidRPr="005971F6">
        <w:rPr>
          <w:rFonts w:ascii="Lato" w:hAnsi="Lato"/>
          <w:color w:val="595959" w:themeColor="text1" w:themeTint="A6"/>
          <w:sz w:val="22"/>
          <w:szCs w:val="22"/>
          <w:lang w:val="es-ES"/>
        </w:rPr>
        <w:t>a Alianza trabaja en la Península de Yucatán en torno a 4 líneas estratégicas: i) Diseño y Fortalecimiento de Refugios Pesqueros, que busca incrementar al menos el 30% de biomasa de especies de interés comercial a t</w:t>
      </w:r>
      <w:r>
        <w:rPr>
          <w:rFonts w:ascii="Lato" w:hAnsi="Lato"/>
          <w:color w:val="595959" w:themeColor="text1" w:themeTint="A6"/>
          <w:sz w:val="22"/>
          <w:szCs w:val="22"/>
          <w:lang w:val="es-ES"/>
        </w:rPr>
        <w:t>ravés del establecimiento de zonas de refugio pesquero</w:t>
      </w:r>
      <w:r w:rsidRPr="005971F6">
        <w:rPr>
          <w:rFonts w:ascii="Lato" w:hAnsi="Lato"/>
          <w:color w:val="595959" w:themeColor="text1" w:themeTint="A6"/>
          <w:sz w:val="22"/>
          <w:szCs w:val="22"/>
          <w:lang w:val="es-ES"/>
        </w:rPr>
        <w:t xml:space="preserve">; ii) Marco Legal, Control y Vigilancia, que utiliza el marco normativo e institucional para contribuir al incremento del 30% de biomasa de especies de interés comercial; iii) Capacitación, la cual fortalece las capacidades y habilidades de los miembros de la Alianza; iv) Desarrollo Socio – Económico vinculado a la pesca, contribuye al bienestar de las comunidades pesqueras a través del aprovechamiento sostenible de los recursos marinos y costeros y la diversificación de actividades económicas. </w:t>
      </w:r>
    </w:p>
    <w:p w:rsidR="00C90843"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sidRPr="005971F6">
        <w:rPr>
          <w:rFonts w:ascii="Lato" w:hAnsi="Lato"/>
          <w:color w:val="595959" w:themeColor="text1" w:themeTint="A6"/>
          <w:sz w:val="22"/>
          <w:szCs w:val="22"/>
          <w:lang w:val="es-ES"/>
        </w:rPr>
        <w:t>Desde 2021 la Alianza Kanan Kay es financiada por un grupo de donantes base, conformado por la Fundación Claudia y Roberto Hernández, la Fundación David &amp; Lucile Packard y Fondo Mexicano para la Conservación de la Naturaleza, con un presupuesto anual de $100,000, destinado para la operación de la Alianza como plataforma de acción colectiva. Además, se considera de relevancia que otros donantes como The Summit Foundation y Walton Family Foundation hayan contribuido en diferentes etapas de la Alianza a la construcción de una red de refugios pesqueros y la promoción de las pesquerías sustentables.</w:t>
      </w:r>
    </w:p>
    <w:p w:rsidR="00C90843" w:rsidRPr="00CF1712"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sidRPr="00CF1712">
        <w:rPr>
          <w:rFonts w:ascii="Lato" w:hAnsi="Lato"/>
          <w:color w:val="595959" w:themeColor="text1" w:themeTint="A6"/>
          <w:sz w:val="22"/>
          <w:szCs w:val="22"/>
          <w:lang w:val="es-ES"/>
        </w:rPr>
        <w:lastRenderedPageBreak/>
        <w:t>La Alianza Kanan Kay está integrada por una pluralidad intersectorial de miembros, quienes, en asamblea general, eligen de entre esa membresía a un Comité Coordinador, integrado por cuatro coordinadores, uno para cada línea estratégica (objetivos externos) y hasta dos enlaces por línea, cuya responsabilidad es coordinar los esfuerzos de implementación del plan de trabajo de la Alianza.</w:t>
      </w:r>
    </w:p>
    <w:p w:rsidR="00C90843" w:rsidRPr="00CF1712"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sidRPr="00CF1712">
        <w:rPr>
          <w:rFonts w:ascii="Lato" w:hAnsi="Lato"/>
          <w:color w:val="595959" w:themeColor="text1" w:themeTint="A6"/>
          <w:sz w:val="22"/>
          <w:szCs w:val="22"/>
          <w:lang w:val="es-ES"/>
        </w:rPr>
        <w:t>Las decisiones de índole administrativo, financiero y sustantivo, en este último caso, siempre que involucren temas administrativos o monetarios, son tomadas por un Comité Ejecutivo, integrado por los tres miembros donantes fundadores del Comité, y hasta cuatro miembros consejeros invitados, con reconocido prestigio en el ámbito de la conservación marina o pesquera; alguno de los consejeros deberá ser representante de una las organizaciones que conforman la Alianza. En su totalidad, la membresía del Comité Ejecutivo será no mayor de siete, ni menor de tres; siempre un número impar de personas.</w:t>
      </w:r>
    </w:p>
    <w:p w:rsidR="00C90843"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sidRPr="00CF1712">
        <w:rPr>
          <w:rFonts w:ascii="Lato" w:hAnsi="Lato"/>
          <w:color w:val="595959" w:themeColor="text1" w:themeTint="A6"/>
          <w:sz w:val="22"/>
          <w:szCs w:val="22"/>
          <w:lang w:val="es-ES"/>
        </w:rPr>
        <w:t>La Coordinación General de la Alianza Kanan Kay funge como vínculo entre ambos comités (Comité Coordinador y Comité Ejecutivo) y la membresía en general; además da seguimiento a acuerdos, al plan operativo anual y al plan estratégico.</w:t>
      </w:r>
    </w:p>
    <w:p w:rsidR="00C90843" w:rsidRPr="00982E7B"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bookmarkStart w:id="57" w:name="_Toc95218428"/>
    </w:p>
    <w:p w:rsidR="00C90843" w:rsidRPr="00C93240" w:rsidRDefault="00C90843" w:rsidP="00C90843">
      <w:pPr>
        <w:pStyle w:val="Ttulo1"/>
        <w:spacing w:beforeLines="24" w:before="57" w:afterLines="24" w:after="57" w:line="288" w:lineRule="auto"/>
        <w:jc w:val="both"/>
        <w:rPr>
          <w:rFonts w:ascii="Lato" w:hAnsi="Lato"/>
          <w:color w:val="595959" w:themeColor="text1" w:themeTint="A6"/>
          <w:sz w:val="22"/>
          <w:szCs w:val="22"/>
          <w:lang w:val="es-ES"/>
        </w:rPr>
      </w:pPr>
      <w:bookmarkStart w:id="58" w:name="_Toc159420274"/>
      <w:r>
        <w:rPr>
          <w:rFonts w:ascii="Lato" w:hAnsi="Lato"/>
          <w:color w:val="595959" w:themeColor="text1" w:themeTint="A6"/>
          <w:sz w:val="22"/>
          <w:szCs w:val="22"/>
          <w:lang w:val="es-ES"/>
        </w:rPr>
        <w:t>A1.</w:t>
      </w:r>
      <w:r w:rsidRPr="00E2162E">
        <w:rPr>
          <w:rFonts w:ascii="Lato" w:hAnsi="Lato"/>
          <w:color w:val="595959" w:themeColor="text1" w:themeTint="A6"/>
          <w:sz w:val="22"/>
          <w:szCs w:val="22"/>
          <w:lang w:val="es-ES"/>
        </w:rPr>
        <w:t>2</w:t>
      </w:r>
      <w:r>
        <w:rPr>
          <w:rFonts w:ascii="Lato" w:hAnsi="Lato"/>
          <w:color w:val="595959" w:themeColor="text1" w:themeTint="A6"/>
          <w:sz w:val="22"/>
          <w:szCs w:val="22"/>
          <w:lang w:val="es-ES"/>
        </w:rPr>
        <w:t>1</w:t>
      </w:r>
      <w:r w:rsidRPr="00E2162E">
        <w:rPr>
          <w:rFonts w:ascii="Lato" w:hAnsi="Lato"/>
          <w:color w:val="595959" w:themeColor="text1" w:themeTint="A6"/>
          <w:sz w:val="22"/>
          <w:szCs w:val="22"/>
          <w:lang w:val="es-ES"/>
        </w:rPr>
        <w:t>. Kaanbal Suut</w:t>
      </w:r>
      <w:bookmarkEnd w:id="57"/>
      <w:bookmarkEnd w:id="58"/>
    </w:p>
    <w:p w:rsidR="00C90843"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p>
    <w:p w:rsidR="00C90843" w:rsidRPr="00E85F93"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sidRPr="00E85F93">
        <w:rPr>
          <w:rFonts w:ascii="Lato" w:hAnsi="Lato"/>
          <w:color w:val="595959" w:themeColor="text1" w:themeTint="A6"/>
          <w:sz w:val="22"/>
          <w:szCs w:val="22"/>
          <w:lang w:val="es-ES"/>
        </w:rPr>
        <w:t>Kaanbal Suut</w:t>
      </w:r>
      <w:r>
        <w:rPr>
          <w:rFonts w:ascii="Lato" w:hAnsi="Lato"/>
          <w:color w:val="595959" w:themeColor="text1" w:themeTint="A6"/>
          <w:sz w:val="22"/>
          <w:szCs w:val="22"/>
          <w:lang w:val="es-ES"/>
        </w:rPr>
        <w:t>: Fortalecimiento de Capacidades Internas y Liderazgo de las Organizaciones de la Sociedad Civil de la Península de Yucatán</w:t>
      </w:r>
      <w:r w:rsidRPr="00E85F93">
        <w:rPr>
          <w:rFonts w:ascii="Lato" w:hAnsi="Lato"/>
          <w:color w:val="595959" w:themeColor="text1" w:themeTint="A6"/>
          <w:sz w:val="22"/>
          <w:szCs w:val="22"/>
          <w:lang w:val="es-ES"/>
        </w:rPr>
        <w:t xml:space="preserve"> </w:t>
      </w:r>
      <w:r>
        <w:rPr>
          <w:rFonts w:ascii="Lato" w:hAnsi="Lato"/>
          <w:color w:val="595959" w:themeColor="text1" w:themeTint="A6"/>
          <w:sz w:val="22"/>
          <w:szCs w:val="22"/>
          <w:lang w:val="es-ES"/>
        </w:rPr>
        <w:t xml:space="preserve">tiene como </w:t>
      </w:r>
      <w:r w:rsidRPr="00E85F93">
        <w:rPr>
          <w:rFonts w:ascii="Lato" w:hAnsi="Lato"/>
          <w:color w:val="595959" w:themeColor="text1" w:themeTint="A6"/>
          <w:sz w:val="22"/>
          <w:szCs w:val="22"/>
          <w:lang w:val="es-ES"/>
        </w:rPr>
        <w:t>objetivo</w:t>
      </w:r>
      <w:r w:rsidRPr="00CF1712">
        <w:t xml:space="preserve"> </w:t>
      </w:r>
      <w:r>
        <w:rPr>
          <w:rFonts w:ascii="Lato" w:hAnsi="Lato"/>
          <w:color w:val="595959" w:themeColor="text1" w:themeTint="A6"/>
          <w:sz w:val="22"/>
          <w:szCs w:val="22"/>
          <w:lang w:val="es-ES"/>
        </w:rPr>
        <w:t>f</w:t>
      </w:r>
      <w:r w:rsidRPr="00CF1712">
        <w:rPr>
          <w:rFonts w:ascii="Lato" w:hAnsi="Lato"/>
          <w:color w:val="595959" w:themeColor="text1" w:themeTint="A6"/>
          <w:sz w:val="22"/>
          <w:szCs w:val="22"/>
          <w:lang w:val="es-ES"/>
        </w:rPr>
        <w:t>ortalecer las capacidades y el liderazgo de organizaciones de la sociedad</w:t>
      </w:r>
      <w:r>
        <w:rPr>
          <w:rFonts w:ascii="Lato" w:hAnsi="Lato"/>
          <w:color w:val="595959" w:themeColor="text1" w:themeTint="A6"/>
          <w:sz w:val="22"/>
          <w:szCs w:val="22"/>
          <w:lang w:val="es-ES"/>
        </w:rPr>
        <w:t xml:space="preserve"> </w:t>
      </w:r>
      <w:r w:rsidRPr="00CF1712">
        <w:rPr>
          <w:rFonts w:ascii="Lato" w:hAnsi="Lato"/>
          <w:color w:val="595959" w:themeColor="text1" w:themeTint="A6"/>
          <w:sz w:val="22"/>
          <w:szCs w:val="22"/>
          <w:lang w:val="es-ES"/>
        </w:rPr>
        <w:t>civil</w:t>
      </w:r>
      <w:r>
        <w:rPr>
          <w:rFonts w:ascii="Lato" w:hAnsi="Lato"/>
          <w:color w:val="595959" w:themeColor="text1" w:themeTint="A6"/>
          <w:sz w:val="22"/>
          <w:szCs w:val="22"/>
          <w:lang w:val="es-ES"/>
        </w:rPr>
        <w:t xml:space="preserve"> de la Península de Yucatán</w:t>
      </w:r>
      <w:r w:rsidRPr="00CF1712">
        <w:rPr>
          <w:rFonts w:ascii="Lato" w:hAnsi="Lato"/>
          <w:color w:val="595959" w:themeColor="text1" w:themeTint="A6"/>
          <w:sz w:val="22"/>
          <w:szCs w:val="22"/>
          <w:lang w:val="es-ES"/>
        </w:rPr>
        <w:t xml:space="preserve"> para una mejor conservación de la naturaleza y uso sostenible de los</w:t>
      </w:r>
      <w:r>
        <w:rPr>
          <w:rFonts w:ascii="Lato" w:hAnsi="Lato"/>
          <w:color w:val="595959" w:themeColor="text1" w:themeTint="A6"/>
          <w:sz w:val="22"/>
          <w:szCs w:val="22"/>
          <w:lang w:val="es-ES"/>
        </w:rPr>
        <w:t xml:space="preserve"> </w:t>
      </w:r>
      <w:r w:rsidRPr="00CF1712">
        <w:rPr>
          <w:rFonts w:ascii="Lato" w:hAnsi="Lato"/>
          <w:color w:val="595959" w:themeColor="text1" w:themeTint="A6"/>
          <w:sz w:val="22"/>
          <w:szCs w:val="22"/>
          <w:lang w:val="es-ES"/>
        </w:rPr>
        <w:t>recursos naturales a nivel regional y de manera estratégica, por medio de la</w:t>
      </w:r>
      <w:r>
        <w:rPr>
          <w:rFonts w:ascii="Lato" w:hAnsi="Lato"/>
          <w:color w:val="595959" w:themeColor="text1" w:themeTint="A6"/>
          <w:sz w:val="22"/>
          <w:szCs w:val="22"/>
          <w:lang w:val="es-ES"/>
        </w:rPr>
        <w:t xml:space="preserve"> </w:t>
      </w:r>
      <w:r w:rsidRPr="00CF1712">
        <w:rPr>
          <w:rFonts w:ascii="Lato" w:hAnsi="Lato"/>
          <w:color w:val="595959" w:themeColor="text1" w:themeTint="A6"/>
          <w:sz w:val="22"/>
          <w:szCs w:val="22"/>
          <w:lang w:val="es-ES"/>
        </w:rPr>
        <w:t>combinación de temas, enfoques y metodologías de aprendizaje</w:t>
      </w:r>
      <w:r>
        <w:rPr>
          <w:rFonts w:ascii="Lato" w:hAnsi="Lato"/>
          <w:color w:val="595959" w:themeColor="text1" w:themeTint="A6"/>
          <w:sz w:val="22"/>
          <w:szCs w:val="22"/>
          <w:lang w:val="es-ES"/>
        </w:rPr>
        <w:t xml:space="preserve"> </w:t>
      </w:r>
      <w:r w:rsidRPr="00E85F93">
        <w:rPr>
          <w:rFonts w:ascii="Lato" w:hAnsi="Lato"/>
          <w:color w:val="595959" w:themeColor="text1" w:themeTint="A6"/>
          <w:sz w:val="22"/>
          <w:szCs w:val="22"/>
          <w:lang w:val="es-ES"/>
        </w:rPr>
        <w:t>diferentes.</w:t>
      </w:r>
    </w:p>
    <w:p w:rsidR="00C90843" w:rsidRPr="00E85F93"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Pr>
          <w:rFonts w:ascii="Lato" w:hAnsi="Lato"/>
          <w:color w:val="595959" w:themeColor="text1" w:themeTint="A6"/>
          <w:sz w:val="22"/>
          <w:szCs w:val="22"/>
          <w:lang w:val="es-ES"/>
        </w:rPr>
        <w:t xml:space="preserve">Al inicio del ciclo de capacitación, cada año </w:t>
      </w:r>
      <w:r w:rsidRPr="00E85F93">
        <w:rPr>
          <w:rFonts w:ascii="Lato" w:hAnsi="Lato"/>
          <w:color w:val="595959" w:themeColor="text1" w:themeTint="A6"/>
          <w:sz w:val="22"/>
          <w:szCs w:val="22"/>
          <w:lang w:val="es-ES"/>
        </w:rPr>
        <w:t xml:space="preserve">se abre una convocatoria y 20 organizaciones son seleccionadas por un Comité de </w:t>
      </w:r>
      <w:r>
        <w:rPr>
          <w:rFonts w:ascii="Lato" w:hAnsi="Lato"/>
          <w:color w:val="595959" w:themeColor="text1" w:themeTint="A6"/>
          <w:sz w:val="22"/>
          <w:szCs w:val="22"/>
          <w:lang w:val="es-ES"/>
        </w:rPr>
        <w:t>S</w:t>
      </w:r>
      <w:r w:rsidRPr="00E85F93">
        <w:rPr>
          <w:rFonts w:ascii="Lato" w:hAnsi="Lato"/>
          <w:color w:val="595959" w:themeColor="text1" w:themeTint="A6"/>
          <w:sz w:val="22"/>
          <w:szCs w:val="22"/>
          <w:lang w:val="es-ES"/>
        </w:rPr>
        <w:t>elección</w:t>
      </w:r>
      <w:r>
        <w:rPr>
          <w:rFonts w:ascii="Lato" w:hAnsi="Lato"/>
          <w:color w:val="595959" w:themeColor="text1" w:themeTint="A6"/>
          <w:sz w:val="22"/>
          <w:szCs w:val="22"/>
          <w:lang w:val="es-ES"/>
        </w:rPr>
        <w:t xml:space="preserve"> conformado por personas que tienen experiencias en la región y en proceso de capacitación</w:t>
      </w:r>
      <w:r w:rsidRPr="00E85F93">
        <w:rPr>
          <w:rFonts w:ascii="Lato" w:hAnsi="Lato"/>
          <w:color w:val="595959" w:themeColor="text1" w:themeTint="A6"/>
          <w:sz w:val="22"/>
          <w:szCs w:val="22"/>
          <w:lang w:val="es-ES"/>
        </w:rPr>
        <w:t xml:space="preserve">. Un grupo de instructores son subcontratados mediante consultorías </w:t>
      </w:r>
      <w:r>
        <w:rPr>
          <w:rFonts w:ascii="Lato" w:hAnsi="Lato"/>
          <w:color w:val="595959" w:themeColor="text1" w:themeTint="A6"/>
          <w:sz w:val="22"/>
          <w:szCs w:val="22"/>
          <w:lang w:val="es-ES"/>
        </w:rPr>
        <w:t xml:space="preserve">abiertas </w:t>
      </w:r>
      <w:r w:rsidRPr="00E85F93">
        <w:rPr>
          <w:rFonts w:ascii="Lato" w:hAnsi="Lato"/>
          <w:color w:val="595959" w:themeColor="text1" w:themeTint="A6"/>
          <w:sz w:val="22"/>
          <w:szCs w:val="22"/>
          <w:lang w:val="es-ES"/>
        </w:rPr>
        <w:t xml:space="preserve">para impartir los cursos. Durante todo el año, </w:t>
      </w:r>
      <w:r>
        <w:rPr>
          <w:rFonts w:ascii="Lato" w:hAnsi="Lato"/>
          <w:color w:val="595959" w:themeColor="text1" w:themeTint="A6"/>
          <w:sz w:val="22"/>
          <w:szCs w:val="22"/>
          <w:lang w:val="es-ES"/>
        </w:rPr>
        <w:t>el equipo núcleo se apoya de un grupo de consultores que contribuyen con el co-diseño y la co-facilitación del ciclo de capacitación</w:t>
      </w:r>
      <w:r w:rsidRPr="00E85F93">
        <w:rPr>
          <w:rFonts w:ascii="Lato" w:hAnsi="Lato"/>
          <w:color w:val="595959" w:themeColor="text1" w:themeTint="A6"/>
          <w:sz w:val="22"/>
          <w:szCs w:val="22"/>
          <w:lang w:val="es-ES"/>
        </w:rPr>
        <w:t xml:space="preserve">. A la mitad y al final del ciclo se realizan evaluaciones internas sobre el desempeño </w:t>
      </w:r>
      <w:r>
        <w:rPr>
          <w:rFonts w:ascii="Lato" w:hAnsi="Lato"/>
          <w:color w:val="595959" w:themeColor="text1" w:themeTint="A6"/>
          <w:sz w:val="22"/>
          <w:szCs w:val="22"/>
          <w:lang w:val="es-ES"/>
        </w:rPr>
        <w:t>y el impacto de Kaanbal Suut</w:t>
      </w:r>
      <w:r w:rsidRPr="00E85F93">
        <w:rPr>
          <w:rFonts w:ascii="Lato" w:hAnsi="Lato"/>
          <w:color w:val="595959" w:themeColor="text1" w:themeTint="A6"/>
          <w:sz w:val="22"/>
          <w:szCs w:val="22"/>
          <w:lang w:val="es-ES"/>
        </w:rPr>
        <w:t xml:space="preserve">. </w:t>
      </w:r>
    </w:p>
    <w:p w:rsidR="00C90843"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sidRPr="00E85F93">
        <w:rPr>
          <w:rFonts w:ascii="Lato" w:hAnsi="Lato"/>
          <w:color w:val="595959" w:themeColor="text1" w:themeTint="A6"/>
          <w:sz w:val="22"/>
          <w:szCs w:val="22"/>
          <w:lang w:val="es-ES"/>
        </w:rPr>
        <w:lastRenderedPageBreak/>
        <w:t>Kaanbal Suut recibe financiamiento de la Fundación Packard. Es operado por la Dirección de Iniciativas del Sureste de FMCN y a partir de febrero 2022 será gestionado por uno de los cinco fondos regionales establecidos en el Plan Estratégico 2018-2023 de FMCN: Sureste Sostenible, A.C.</w:t>
      </w:r>
    </w:p>
    <w:p w:rsidR="00C90843"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p>
    <w:p w:rsidR="00C90843"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p>
    <w:p w:rsidR="00C90843"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p>
    <w:p w:rsidR="00C90843"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p>
    <w:p w:rsidR="00C90843" w:rsidRPr="00E2162E" w:rsidRDefault="00C90843" w:rsidP="00C90843">
      <w:pPr>
        <w:pStyle w:val="Ttulo1"/>
        <w:spacing w:beforeLines="24" w:before="57" w:afterLines="24" w:after="57" w:line="288" w:lineRule="auto"/>
        <w:jc w:val="both"/>
        <w:rPr>
          <w:rFonts w:ascii="Lato" w:hAnsi="Lato"/>
          <w:color w:val="595959" w:themeColor="text1" w:themeTint="A6"/>
          <w:sz w:val="22"/>
          <w:szCs w:val="22"/>
          <w:lang w:val="es-ES"/>
        </w:rPr>
      </w:pPr>
      <w:bookmarkStart w:id="59" w:name="_Toc95218429"/>
      <w:bookmarkStart w:id="60" w:name="_Toc159420275"/>
      <w:r>
        <w:rPr>
          <w:rFonts w:ascii="Lato" w:hAnsi="Lato"/>
          <w:color w:val="595959" w:themeColor="text1" w:themeTint="A6"/>
          <w:sz w:val="22"/>
          <w:szCs w:val="22"/>
          <w:lang w:val="es-ES"/>
        </w:rPr>
        <w:t>A1.</w:t>
      </w:r>
      <w:r w:rsidRPr="00E2162E">
        <w:rPr>
          <w:rFonts w:ascii="Lato" w:hAnsi="Lato"/>
          <w:color w:val="595959" w:themeColor="text1" w:themeTint="A6"/>
          <w:sz w:val="22"/>
          <w:szCs w:val="22"/>
          <w:lang w:val="es-ES"/>
        </w:rPr>
        <w:t>2</w:t>
      </w:r>
      <w:r>
        <w:rPr>
          <w:rFonts w:ascii="Lato" w:hAnsi="Lato"/>
          <w:color w:val="595959" w:themeColor="text1" w:themeTint="A6"/>
          <w:sz w:val="22"/>
          <w:szCs w:val="22"/>
          <w:lang w:val="es-ES"/>
        </w:rPr>
        <w:t>2</w:t>
      </w:r>
      <w:r w:rsidRPr="00E2162E">
        <w:rPr>
          <w:rFonts w:ascii="Lato" w:hAnsi="Lato"/>
          <w:color w:val="595959" w:themeColor="text1" w:themeTint="A6"/>
          <w:sz w:val="22"/>
          <w:szCs w:val="22"/>
          <w:lang w:val="es-ES"/>
        </w:rPr>
        <w:t>. Liderazgo en el Sistema Arrecifal Mesoamericano</w:t>
      </w:r>
      <w:bookmarkEnd w:id="59"/>
      <w:bookmarkEnd w:id="60"/>
    </w:p>
    <w:p w:rsidR="00C90843"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p>
    <w:p w:rsidR="00C90843" w:rsidRPr="00A90D9E"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Pr>
          <w:rFonts w:ascii="Lato" w:hAnsi="Lato"/>
          <w:color w:val="595959" w:themeColor="text1" w:themeTint="A6"/>
          <w:sz w:val="22"/>
          <w:szCs w:val="22"/>
          <w:lang w:val="es-ES"/>
        </w:rPr>
        <w:t>Lanzado en 2010, Liderazgo en el Sistema Arrecifal Mesoamericano (Liderazgo SAM) tiene el objetivo de co</w:t>
      </w:r>
      <w:r w:rsidRPr="00A90D9E">
        <w:rPr>
          <w:rFonts w:ascii="Lato" w:hAnsi="Lato"/>
          <w:color w:val="595959" w:themeColor="text1" w:themeTint="A6"/>
          <w:sz w:val="22"/>
          <w:szCs w:val="22"/>
          <w:lang w:val="es-ES"/>
        </w:rPr>
        <w:t xml:space="preserve">ntribuir a la </w:t>
      </w:r>
      <w:r>
        <w:rPr>
          <w:rFonts w:ascii="Lato" w:hAnsi="Lato"/>
          <w:color w:val="595959" w:themeColor="text1" w:themeTint="A6"/>
          <w:sz w:val="22"/>
          <w:szCs w:val="22"/>
          <w:lang w:val="es-ES"/>
        </w:rPr>
        <w:t>conservación</w:t>
      </w:r>
      <w:r w:rsidRPr="00A90D9E">
        <w:rPr>
          <w:rFonts w:ascii="Lato" w:hAnsi="Lato"/>
          <w:color w:val="595959" w:themeColor="text1" w:themeTint="A6"/>
          <w:sz w:val="22"/>
          <w:szCs w:val="22"/>
          <w:lang w:val="es-ES"/>
        </w:rPr>
        <w:t xml:space="preserve"> y el uso sustentable de los recursos del SAM a tra</w:t>
      </w:r>
      <w:r>
        <w:rPr>
          <w:rFonts w:ascii="Lato" w:hAnsi="Lato"/>
          <w:color w:val="595959" w:themeColor="text1" w:themeTint="A6"/>
          <w:sz w:val="22"/>
          <w:szCs w:val="22"/>
          <w:lang w:val="es-ES"/>
        </w:rPr>
        <w:t xml:space="preserve">vés del </w:t>
      </w:r>
      <w:r w:rsidRPr="00A90D9E">
        <w:rPr>
          <w:rFonts w:ascii="Lato" w:hAnsi="Lato"/>
          <w:color w:val="595959" w:themeColor="text1" w:themeTint="A6"/>
          <w:sz w:val="22"/>
          <w:szCs w:val="22"/>
          <w:lang w:val="es-ES"/>
        </w:rPr>
        <w:t>fortalecimiento de capacidades estratégicas y habilidades de liderazgo de jóvenes conservacionistas de México, Belice, Guatemala y Honduras.</w:t>
      </w:r>
      <w:r>
        <w:rPr>
          <w:rFonts w:ascii="Lato" w:hAnsi="Lato"/>
          <w:color w:val="595959" w:themeColor="text1" w:themeTint="A6"/>
          <w:sz w:val="22"/>
          <w:szCs w:val="22"/>
          <w:lang w:val="es-ES"/>
        </w:rPr>
        <w:t xml:space="preserve">  </w:t>
      </w:r>
      <w:r w:rsidRPr="00A90D9E">
        <w:rPr>
          <w:rFonts w:ascii="Lato" w:hAnsi="Lato"/>
          <w:color w:val="595959" w:themeColor="text1" w:themeTint="A6"/>
          <w:sz w:val="22"/>
          <w:szCs w:val="22"/>
          <w:lang w:val="es-ES"/>
        </w:rPr>
        <w:t>L</w:t>
      </w:r>
      <w:r>
        <w:rPr>
          <w:rFonts w:ascii="Lato" w:hAnsi="Lato"/>
          <w:color w:val="595959" w:themeColor="text1" w:themeTint="A6"/>
          <w:sz w:val="22"/>
          <w:szCs w:val="22"/>
          <w:lang w:val="es-ES"/>
        </w:rPr>
        <w:t xml:space="preserve">iderazgo </w:t>
      </w:r>
      <w:r w:rsidRPr="00A90D9E">
        <w:rPr>
          <w:rFonts w:ascii="Lato" w:hAnsi="Lato"/>
          <w:color w:val="595959" w:themeColor="text1" w:themeTint="A6"/>
          <w:sz w:val="22"/>
          <w:szCs w:val="22"/>
          <w:lang w:val="es-ES"/>
        </w:rPr>
        <w:t>SAM o</w:t>
      </w:r>
      <w:r>
        <w:rPr>
          <w:rFonts w:ascii="Lato" w:hAnsi="Lato"/>
          <w:color w:val="595959" w:themeColor="text1" w:themeTint="A6"/>
          <w:sz w:val="22"/>
          <w:szCs w:val="22"/>
          <w:lang w:val="es-ES"/>
        </w:rPr>
        <w:t>pera mediante generaciones de 12</w:t>
      </w:r>
      <w:r w:rsidRPr="00A90D9E">
        <w:rPr>
          <w:rFonts w:ascii="Lato" w:hAnsi="Lato"/>
          <w:color w:val="595959" w:themeColor="text1" w:themeTint="A6"/>
          <w:sz w:val="22"/>
          <w:szCs w:val="22"/>
          <w:lang w:val="es-ES"/>
        </w:rPr>
        <w:t xml:space="preserve"> a 2</w:t>
      </w:r>
      <w:r>
        <w:rPr>
          <w:rFonts w:ascii="Lato" w:hAnsi="Lato"/>
          <w:color w:val="595959" w:themeColor="text1" w:themeTint="A6"/>
          <w:sz w:val="22"/>
          <w:szCs w:val="22"/>
          <w:lang w:val="es-ES"/>
        </w:rPr>
        <w:t>5</w:t>
      </w:r>
      <w:r w:rsidRPr="00A90D9E">
        <w:rPr>
          <w:rFonts w:ascii="Lato" w:hAnsi="Lato"/>
          <w:color w:val="595959" w:themeColor="text1" w:themeTint="A6"/>
          <w:sz w:val="22"/>
          <w:szCs w:val="22"/>
          <w:lang w:val="es-ES"/>
        </w:rPr>
        <w:t xml:space="preserve"> jóvenes de diversos orígenes, profesiones y sectores, pero con un interés compartido: el cuidado de la salud del SAM. Cada generación se centra en un tema relacionado con las necesidades de conservación del arrecife</w:t>
      </w:r>
      <w:r>
        <w:rPr>
          <w:rFonts w:ascii="Lato" w:hAnsi="Lato"/>
          <w:color w:val="595959" w:themeColor="text1" w:themeTint="A6"/>
          <w:sz w:val="22"/>
          <w:szCs w:val="22"/>
          <w:lang w:val="es-ES"/>
        </w:rPr>
        <w:t xml:space="preserve"> que es seleccionado por el Comité Ejecutivo</w:t>
      </w:r>
      <w:r w:rsidRPr="00532FD0">
        <w:rPr>
          <w:rFonts w:ascii="Lato" w:hAnsi="Lato"/>
          <w:color w:val="595959" w:themeColor="text1" w:themeTint="A6"/>
          <w:sz w:val="22"/>
          <w:szCs w:val="22"/>
          <w:lang w:val="es-ES"/>
        </w:rPr>
        <w:t xml:space="preserve"> </w:t>
      </w:r>
      <w:r>
        <w:rPr>
          <w:rFonts w:ascii="Lato" w:hAnsi="Lato"/>
          <w:color w:val="595959" w:themeColor="text1" w:themeTint="A6"/>
          <w:sz w:val="22"/>
          <w:szCs w:val="22"/>
          <w:lang w:val="es-ES"/>
        </w:rPr>
        <w:t xml:space="preserve">el cual está </w:t>
      </w:r>
      <w:r w:rsidRPr="00A90D9E">
        <w:rPr>
          <w:rFonts w:ascii="Lato" w:hAnsi="Lato"/>
          <w:color w:val="595959" w:themeColor="text1" w:themeTint="A6"/>
          <w:sz w:val="22"/>
          <w:szCs w:val="22"/>
          <w:lang w:val="es-ES"/>
        </w:rPr>
        <w:t>integrado por seis</w:t>
      </w:r>
      <w:r>
        <w:rPr>
          <w:rFonts w:ascii="Lato" w:hAnsi="Lato"/>
          <w:color w:val="595959" w:themeColor="text1" w:themeTint="A6"/>
          <w:sz w:val="22"/>
          <w:szCs w:val="22"/>
          <w:lang w:val="es-ES"/>
        </w:rPr>
        <w:t xml:space="preserve"> personas (tres donantes y tres representantes de los países del SAM)</w:t>
      </w:r>
      <w:r w:rsidRPr="00A90D9E">
        <w:rPr>
          <w:rFonts w:ascii="Lato" w:hAnsi="Lato"/>
          <w:color w:val="595959" w:themeColor="text1" w:themeTint="A6"/>
          <w:sz w:val="22"/>
          <w:szCs w:val="22"/>
          <w:lang w:val="es-ES"/>
        </w:rPr>
        <w:t>, que diseña</w:t>
      </w:r>
      <w:r>
        <w:rPr>
          <w:rFonts w:ascii="Lato" w:hAnsi="Lato"/>
          <w:color w:val="595959" w:themeColor="text1" w:themeTint="A6"/>
          <w:sz w:val="22"/>
          <w:szCs w:val="22"/>
          <w:lang w:val="es-ES"/>
        </w:rPr>
        <w:t>n</w:t>
      </w:r>
      <w:r w:rsidRPr="00A90D9E">
        <w:rPr>
          <w:rFonts w:ascii="Lato" w:hAnsi="Lato"/>
          <w:color w:val="595959" w:themeColor="text1" w:themeTint="A6"/>
          <w:sz w:val="22"/>
          <w:szCs w:val="22"/>
          <w:lang w:val="es-ES"/>
        </w:rPr>
        <w:t xml:space="preserve"> la</w:t>
      </w:r>
      <w:r>
        <w:rPr>
          <w:rFonts w:ascii="Lato" w:hAnsi="Lato"/>
          <w:color w:val="595959" w:themeColor="text1" w:themeTint="A6"/>
          <w:sz w:val="22"/>
          <w:szCs w:val="22"/>
          <w:lang w:val="es-ES"/>
        </w:rPr>
        <w:t>s</w:t>
      </w:r>
      <w:r w:rsidRPr="00A90D9E">
        <w:rPr>
          <w:rFonts w:ascii="Lato" w:hAnsi="Lato"/>
          <w:color w:val="595959" w:themeColor="text1" w:themeTint="A6"/>
          <w:sz w:val="22"/>
          <w:szCs w:val="22"/>
          <w:lang w:val="es-ES"/>
        </w:rPr>
        <w:t xml:space="preserve"> estrategia</w:t>
      </w:r>
      <w:r>
        <w:rPr>
          <w:rFonts w:ascii="Lato" w:hAnsi="Lato"/>
          <w:color w:val="595959" w:themeColor="text1" w:themeTint="A6"/>
          <w:sz w:val="22"/>
          <w:szCs w:val="22"/>
          <w:lang w:val="es-ES"/>
        </w:rPr>
        <w:t>s</w:t>
      </w:r>
      <w:r w:rsidRPr="00A90D9E">
        <w:rPr>
          <w:rFonts w:ascii="Lato" w:hAnsi="Lato"/>
          <w:color w:val="595959" w:themeColor="text1" w:themeTint="A6"/>
          <w:sz w:val="22"/>
          <w:szCs w:val="22"/>
          <w:lang w:val="es-ES"/>
        </w:rPr>
        <w:t xml:space="preserve"> y </w:t>
      </w:r>
      <w:r>
        <w:rPr>
          <w:rFonts w:ascii="Lato" w:hAnsi="Lato"/>
          <w:color w:val="595959" w:themeColor="text1" w:themeTint="A6"/>
          <w:sz w:val="22"/>
          <w:szCs w:val="22"/>
          <w:lang w:val="es-ES"/>
        </w:rPr>
        <w:t xml:space="preserve">supervisan la operación de Liderazgo SAM. Los y las candidatas pueden postularse de forma individual o en equipos </w:t>
      </w:r>
      <w:r w:rsidRPr="00A90D9E">
        <w:rPr>
          <w:rFonts w:ascii="Lato" w:hAnsi="Lato"/>
          <w:color w:val="595959" w:themeColor="text1" w:themeTint="A6"/>
          <w:sz w:val="22"/>
          <w:szCs w:val="22"/>
          <w:lang w:val="es-ES"/>
        </w:rPr>
        <w:t xml:space="preserve">con una idea de proyecto que ha de madurarse durante el ciclo de capacitación de 12 meses. En este periodo, los y las líderes participan en capacitaciones presenciales y remotas </w:t>
      </w:r>
      <w:r>
        <w:rPr>
          <w:rFonts w:ascii="Lato" w:hAnsi="Lato"/>
          <w:color w:val="595959" w:themeColor="text1" w:themeTint="A6"/>
          <w:sz w:val="22"/>
          <w:szCs w:val="22"/>
          <w:lang w:val="es-ES"/>
        </w:rPr>
        <w:t xml:space="preserve">con diferentes contenidos de liderazgo y aquellos relacionados con el tema de la generación. </w:t>
      </w:r>
    </w:p>
    <w:p w:rsidR="00C90843" w:rsidRPr="00A90D9E"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Pr>
          <w:rFonts w:ascii="Lato" w:hAnsi="Lato"/>
          <w:color w:val="595959" w:themeColor="text1" w:themeTint="A6"/>
          <w:sz w:val="22"/>
          <w:szCs w:val="22"/>
          <w:lang w:val="es-ES"/>
        </w:rPr>
        <w:t xml:space="preserve">La selección de candidatos se lleva a cabo por un Comité de selección </w:t>
      </w:r>
      <w:r w:rsidRPr="0094514D">
        <w:rPr>
          <w:rFonts w:ascii="Lato" w:hAnsi="Lato"/>
          <w:i/>
          <w:color w:val="595959" w:themeColor="text1" w:themeTint="A6"/>
          <w:sz w:val="22"/>
          <w:szCs w:val="22"/>
          <w:lang w:val="es-ES"/>
        </w:rPr>
        <w:t>ad hoc</w:t>
      </w:r>
      <w:r>
        <w:rPr>
          <w:rFonts w:ascii="Lato" w:hAnsi="Lato"/>
          <w:color w:val="595959" w:themeColor="text1" w:themeTint="A6"/>
          <w:sz w:val="22"/>
          <w:szCs w:val="22"/>
          <w:lang w:val="es-ES"/>
        </w:rPr>
        <w:t xml:space="preserve"> conformado por líderes que han participado en el proyecto y la selección final se lleva a cabo en el seno del Comité Ejecutivo.</w:t>
      </w:r>
      <w:r w:rsidRPr="00A90D9E">
        <w:rPr>
          <w:rFonts w:ascii="Lato" w:hAnsi="Lato"/>
          <w:color w:val="595959" w:themeColor="text1" w:themeTint="A6"/>
          <w:sz w:val="22"/>
          <w:szCs w:val="22"/>
          <w:lang w:val="es-ES"/>
        </w:rPr>
        <w:t xml:space="preserve"> </w:t>
      </w:r>
      <w:r>
        <w:rPr>
          <w:rFonts w:ascii="Lato" w:hAnsi="Lato"/>
          <w:color w:val="595959" w:themeColor="text1" w:themeTint="A6"/>
          <w:sz w:val="22"/>
          <w:szCs w:val="22"/>
          <w:lang w:val="es-ES"/>
        </w:rPr>
        <w:t>La</w:t>
      </w:r>
      <w:r w:rsidRPr="00A90D9E">
        <w:rPr>
          <w:rFonts w:ascii="Lato" w:hAnsi="Lato"/>
          <w:color w:val="595959" w:themeColor="text1" w:themeTint="A6"/>
          <w:sz w:val="22"/>
          <w:szCs w:val="22"/>
          <w:lang w:val="es-ES"/>
        </w:rPr>
        <w:t>s</w:t>
      </w:r>
      <w:r>
        <w:rPr>
          <w:rFonts w:ascii="Lato" w:hAnsi="Lato"/>
          <w:color w:val="595959" w:themeColor="text1" w:themeTint="A6"/>
          <w:sz w:val="22"/>
          <w:szCs w:val="22"/>
          <w:lang w:val="es-ES"/>
        </w:rPr>
        <w:t xml:space="preserve"> y los</w:t>
      </w:r>
      <w:r w:rsidRPr="00A90D9E">
        <w:rPr>
          <w:rFonts w:ascii="Lato" w:hAnsi="Lato"/>
          <w:color w:val="595959" w:themeColor="text1" w:themeTint="A6"/>
          <w:sz w:val="22"/>
          <w:szCs w:val="22"/>
          <w:lang w:val="es-ES"/>
        </w:rPr>
        <w:t xml:space="preserve"> capacitadores son contratados como consultores para cada taller y los ponentes invitados que dan conferencias magistrales y brindan retroalimentación a los proyectos de los y las líderes participan pro bono.</w:t>
      </w:r>
    </w:p>
    <w:p w:rsidR="00C90843" w:rsidRPr="00E85F93"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Pr>
          <w:rFonts w:ascii="Lato" w:hAnsi="Lato"/>
          <w:color w:val="595959" w:themeColor="text1" w:themeTint="A6"/>
          <w:sz w:val="22"/>
          <w:szCs w:val="22"/>
          <w:lang w:val="es-ES"/>
        </w:rPr>
        <w:lastRenderedPageBreak/>
        <w:t>El proyecto</w:t>
      </w:r>
      <w:r w:rsidRPr="00E85F93">
        <w:rPr>
          <w:rFonts w:ascii="Lato" w:hAnsi="Lato"/>
          <w:color w:val="595959" w:themeColor="text1" w:themeTint="A6"/>
          <w:sz w:val="22"/>
          <w:szCs w:val="22"/>
          <w:lang w:val="es-ES"/>
        </w:rPr>
        <w:t xml:space="preserve"> recibe financiamiento de</w:t>
      </w:r>
      <w:r>
        <w:rPr>
          <w:rFonts w:ascii="Lato" w:hAnsi="Lato"/>
          <w:color w:val="595959" w:themeColor="text1" w:themeTint="A6"/>
          <w:sz w:val="22"/>
          <w:szCs w:val="22"/>
          <w:lang w:val="es-ES"/>
        </w:rPr>
        <w:t xml:space="preserve"> </w:t>
      </w:r>
      <w:r w:rsidRPr="00E85F93">
        <w:rPr>
          <w:rFonts w:ascii="Lato" w:hAnsi="Lato"/>
          <w:color w:val="595959" w:themeColor="text1" w:themeTint="A6"/>
          <w:sz w:val="22"/>
          <w:szCs w:val="22"/>
          <w:lang w:val="es-ES"/>
        </w:rPr>
        <w:t>MAR Fund, The Oak Hill Fund, The Summit Foundation, y Fondo Mexicano para la Conservación de la Naturaleza. El Comité Ejecutivo está conformado por María José González -Directora Ejecutiva de MAR Fund-, Cheri Recchia -Directora</w:t>
      </w:r>
      <w:r>
        <w:rPr>
          <w:rFonts w:ascii="Lato" w:hAnsi="Lato"/>
          <w:color w:val="595959" w:themeColor="text1" w:themeTint="A6"/>
          <w:sz w:val="22"/>
          <w:szCs w:val="22"/>
          <w:lang w:val="es-ES"/>
        </w:rPr>
        <w:t xml:space="preserve"> </w:t>
      </w:r>
      <w:r w:rsidRPr="00E85F93">
        <w:rPr>
          <w:rFonts w:ascii="Lato" w:hAnsi="Lato"/>
          <w:color w:val="595959" w:themeColor="text1" w:themeTint="A6"/>
          <w:sz w:val="22"/>
          <w:szCs w:val="22"/>
          <w:lang w:val="es-ES"/>
        </w:rPr>
        <w:t xml:space="preserve">del Programa del Arrecife Mesoamericano de la Fundación Summit-, Janelle Chanona -Directora de Oceana-, Jenny Myton -Directora del Programa Regional para el Arrecife Mesoamericano de The Coral Reef Alliance-, Marco Cerezo -Director de FUNDAECO-, Renée González -Directora General de FMCN-, y Lorenzo Rosenzweig </w:t>
      </w:r>
      <w:r>
        <w:rPr>
          <w:rFonts w:ascii="Lato" w:hAnsi="Lato"/>
          <w:color w:val="595959" w:themeColor="text1" w:themeTint="A6"/>
          <w:sz w:val="22"/>
          <w:szCs w:val="22"/>
          <w:lang w:val="es-ES"/>
        </w:rPr>
        <w:t>–Director General de Terra Habitus, AC</w:t>
      </w:r>
      <w:r w:rsidRPr="00E85F93">
        <w:rPr>
          <w:rFonts w:ascii="Lato" w:hAnsi="Lato"/>
          <w:color w:val="595959" w:themeColor="text1" w:themeTint="A6"/>
          <w:sz w:val="22"/>
          <w:szCs w:val="22"/>
          <w:lang w:val="es-ES"/>
        </w:rPr>
        <w:t xml:space="preserve">. </w:t>
      </w:r>
    </w:p>
    <w:p w:rsidR="00C90843" w:rsidRPr="00982E7B" w:rsidRDefault="00C90843" w:rsidP="00C90843">
      <w:pPr>
        <w:keepLines/>
        <w:spacing w:beforeLines="24" w:before="57" w:afterLines="24" w:after="57" w:line="288" w:lineRule="auto"/>
        <w:jc w:val="both"/>
        <w:rPr>
          <w:rFonts w:ascii="Lato" w:hAnsi="Lato"/>
          <w:color w:val="595959" w:themeColor="text1" w:themeTint="A6"/>
          <w:sz w:val="22"/>
          <w:szCs w:val="22"/>
          <w:lang w:val="es-ES"/>
        </w:rPr>
      </w:pPr>
      <w:r>
        <w:rPr>
          <w:rFonts w:ascii="Lato" w:hAnsi="Lato"/>
          <w:color w:val="595959" w:themeColor="text1" w:themeTint="A6"/>
          <w:sz w:val="22"/>
          <w:szCs w:val="22"/>
          <w:lang w:val="es-ES"/>
        </w:rPr>
        <w:t>El proyecto</w:t>
      </w:r>
      <w:r w:rsidRPr="00E85F93">
        <w:rPr>
          <w:rFonts w:ascii="Lato" w:hAnsi="Lato"/>
          <w:color w:val="595959" w:themeColor="text1" w:themeTint="A6"/>
          <w:sz w:val="22"/>
          <w:szCs w:val="22"/>
          <w:lang w:val="es-ES"/>
        </w:rPr>
        <w:t xml:space="preserve"> es operado por la Dirección de In</w:t>
      </w:r>
      <w:r>
        <w:rPr>
          <w:rFonts w:ascii="Lato" w:hAnsi="Lato"/>
          <w:color w:val="595959" w:themeColor="text1" w:themeTint="A6"/>
          <w:sz w:val="22"/>
          <w:szCs w:val="22"/>
          <w:lang w:val="es-ES"/>
        </w:rPr>
        <w:t>iciativas del Sureste de FMCN</w:t>
      </w:r>
      <w:r w:rsidRPr="00E85F93">
        <w:rPr>
          <w:rFonts w:ascii="Lato" w:hAnsi="Lato"/>
          <w:color w:val="595959" w:themeColor="text1" w:themeTint="A6"/>
          <w:sz w:val="22"/>
          <w:szCs w:val="22"/>
          <w:lang w:val="es-ES"/>
        </w:rPr>
        <w:t xml:space="preserve"> y a partir de febrero 2022 será gestionado por uno de los cinco fondos regionales establecidos en el Plan Estratégico 2018-2023 de FMCN: Sureste Sostenible, A.C.</w:t>
      </w:r>
    </w:p>
    <w:p w:rsidR="00C90843" w:rsidRPr="00C90843" w:rsidRDefault="00C90843">
      <w:pPr>
        <w:rPr>
          <w:lang w:val="es-ES"/>
        </w:rPr>
      </w:pPr>
      <w:bookmarkStart w:id="61" w:name="_GoBack"/>
      <w:bookmarkEnd w:id="61"/>
    </w:p>
    <w:sectPr w:rsidR="00C90843" w:rsidRPr="00C90843">
      <w:pgSz w:w="12240" w:h="15840"/>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87388" w:rsidRDefault="00387388" w:rsidP="00C90843">
      <w:r>
        <w:separator/>
      </w:r>
    </w:p>
  </w:endnote>
  <w:endnote w:type="continuationSeparator" w:id="0">
    <w:p w:rsidR="00387388" w:rsidRDefault="00387388" w:rsidP="00C9084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ato">
    <w:altName w:val="Segoe UI"/>
    <w:charset w:val="00"/>
    <w:family w:val="swiss"/>
    <w:pitch w:val="variable"/>
    <w:sig w:usb0="E10002FF" w:usb1="5000ECFF" w:usb2="00000021" w:usb3="00000000" w:csb0="0000019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Lucida Grande">
    <w:altName w:val="Segoe UI"/>
    <w:charset w:val="00"/>
    <w:family w:val="swiss"/>
    <w:pitch w:val="variable"/>
    <w:sig w:usb0="E1000AEF" w:usb1="5000A1FF" w:usb2="00000000" w:usb3="00000000" w:csb0="000001BF" w:csb1="00000000"/>
  </w:font>
  <w:font w:name="Arial">
    <w:panose1 w:val="020B0604020202020204"/>
    <w:charset w:val="00"/>
    <w:family w:val="swiss"/>
    <w:pitch w:val="variable"/>
    <w:sig w:usb0="E0002EFF" w:usb1="C000785B" w:usb2="00000009" w:usb3="00000000" w:csb0="000001FF" w:csb1="00000000"/>
  </w:font>
  <w:font w:name="Gill Sans MT">
    <w:panose1 w:val="020B0502020104020203"/>
    <w:charset w:val="00"/>
    <w:family w:val="swiss"/>
    <w:pitch w:val="variable"/>
    <w:sig w:usb0="00000007" w:usb1="00000000" w:usb2="00000000" w:usb3="00000000" w:csb0="00000003" w:csb1="00000000"/>
  </w:font>
  <w:font w:name="Georgia">
    <w:panose1 w:val="02040502050405020303"/>
    <w:charset w:val="00"/>
    <w:family w:val="roman"/>
    <w:pitch w:val="variable"/>
    <w:sig w:usb0="00000287" w:usb1="00000000" w:usb2="00000000" w:usb3="00000000" w:csb0="0000009F" w:csb1="00000000"/>
  </w:font>
  <w:font w:name="Frutiger LT Std 45 Light">
    <w:altName w:val="Calibri"/>
    <w:panose1 w:val="00000000000000000000"/>
    <w:charset w:val="00"/>
    <w:family w:val="swiss"/>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Corbel">
    <w:panose1 w:val="020B0503020204020204"/>
    <w:charset w:val="00"/>
    <w:family w:val="swiss"/>
    <w:pitch w:val="variable"/>
    <w:sig w:usb0="A00002EF" w:usb1="4000A44B" w:usb2="00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90843" w:rsidRDefault="00C90843" w:rsidP="00542BAB">
    <w:pPr>
      <w:pStyle w:val="Piedepgina"/>
      <w:framePr w:wrap="none" w:vAnchor="text" w:hAnchor="margin" w:xAlign="center" w:y="1"/>
      <w:rPr>
        <w:rStyle w:val="Nmerodepgina"/>
      </w:rPr>
    </w:pPr>
    <w:r>
      <w:rPr>
        <w:rStyle w:val="Nmerodepgina"/>
      </w:rPr>
      <w:fldChar w:fldCharType="begin"/>
    </w:r>
    <w:r>
      <w:rPr>
        <w:rStyle w:val="Nmerodepgina"/>
      </w:rPr>
      <w:instrText xml:space="preserve"> PAGE </w:instrText>
    </w:r>
    <w:r>
      <w:rPr>
        <w:rStyle w:val="Nmerodepgina"/>
      </w:rPr>
      <w:fldChar w:fldCharType="end"/>
    </w:r>
  </w:p>
  <w:p w:rsidR="00C90843" w:rsidRDefault="00C90843" w:rsidP="00542BAB">
    <w:pPr>
      <w:pStyle w:val="Piedepgina"/>
      <w:framePr w:wrap="none" w:vAnchor="text" w:hAnchor="margin" w:xAlign="right" w:y="1"/>
      <w:rPr>
        <w:rStyle w:val="Nmerodepgina"/>
      </w:rPr>
    </w:pPr>
    <w:r>
      <w:rPr>
        <w:rStyle w:val="Nmerodepgina"/>
      </w:rPr>
      <w:fldChar w:fldCharType="begin"/>
    </w:r>
    <w:r>
      <w:rPr>
        <w:rStyle w:val="Nmerodepgina"/>
      </w:rPr>
      <w:instrText xml:space="preserve"> PAGE </w:instrText>
    </w:r>
    <w:r>
      <w:rPr>
        <w:rStyle w:val="Nmerodepgina"/>
      </w:rPr>
      <w:fldChar w:fldCharType="end"/>
    </w:r>
  </w:p>
  <w:p w:rsidR="00C90843" w:rsidRDefault="00C90843" w:rsidP="00542BAB">
    <w:pPr>
      <w:pStyle w:val="Piedepgina"/>
      <w:ind w:right="360"/>
    </w:pPr>
  </w:p>
  <w:p w:rsidR="00C90843" w:rsidRDefault="00C90843"/>
  <w:p w:rsidR="00C90843" w:rsidRDefault="00C90843"/>
  <w:p w:rsidR="00C90843" w:rsidRDefault="00C90843"/>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90843" w:rsidRDefault="00C90843" w:rsidP="00542BAB">
    <w:pPr>
      <w:pStyle w:val="Piedepgina"/>
      <w:ind w:right="360"/>
    </w:pPr>
  </w:p>
  <w:p w:rsidR="00C90843" w:rsidRDefault="00C90843"/>
  <w:sdt>
    <w:sdtPr>
      <w:rPr>
        <w:rStyle w:val="Nmerodepgina"/>
        <w:rFonts w:ascii="Lato" w:hAnsi="Lato"/>
        <w:color w:val="595959" w:themeColor="text1" w:themeTint="A6"/>
        <w:sz w:val="22"/>
        <w:szCs w:val="22"/>
      </w:rPr>
      <w:id w:val="157732136"/>
      <w:docPartObj>
        <w:docPartGallery w:val="Page Numbers (Bottom of Page)"/>
        <w:docPartUnique/>
      </w:docPartObj>
    </w:sdtPr>
    <w:sdtContent>
      <w:p w:rsidR="00C90843" w:rsidRPr="00F70CA0" w:rsidRDefault="00C90843" w:rsidP="00542BAB">
        <w:pPr>
          <w:pStyle w:val="Piedepgina"/>
          <w:framePr w:wrap="none" w:vAnchor="text" w:hAnchor="margin" w:xAlign="center" w:y="176"/>
          <w:rPr>
            <w:rStyle w:val="Nmerodepgina"/>
            <w:rFonts w:ascii="Lato" w:hAnsi="Lato"/>
            <w:color w:val="595959" w:themeColor="text1" w:themeTint="A6"/>
            <w:sz w:val="22"/>
            <w:szCs w:val="22"/>
          </w:rPr>
        </w:pPr>
        <w:r w:rsidRPr="00F70CA0">
          <w:rPr>
            <w:rStyle w:val="Nmerodepgina"/>
            <w:rFonts w:ascii="Lato" w:hAnsi="Lato"/>
            <w:color w:val="595959" w:themeColor="text1" w:themeTint="A6"/>
            <w:sz w:val="22"/>
            <w:szCs w:val="22"/>
          </w:rPr>
          <w:fldChar w:fldCharType="begin"/>
        </w:r>
        <w:r w:rsidRPr="00F70CA0">
          <w:rPr>
            <w:rStyle w:val="Nmerodepgina"/>
            <w:rFonts w:ascii="Lato" w:hAnsi="Lato"/>
            <w:color w:val="595959" w:themeColor="text1" w:themeTint="A6"/>
            <w:sz w:val="22"/>
            <w:szCs w:val="22"/>
          </w:rPr>
          <w:instrText xml:space="preserve"> PAGE </w:instrText>
        </w:r>
        <w:r w:rsidRPr="00F70CA0">
          <w:rPr>
            <w:rStyle w:val="Nmerodepgina"/>
            <w:rFonts w:ascii="Lato" w:hAnsi="Lato"/>
            <w:color w:val="595959" w:themeColor="text1" w:themeTint="A6"/>
            <w:sz w:val="22"/>
            <w:szCs w:val="22"/>
          </w:rPr>
          <w:fldChar w:fldCharType="separate"/>
        </w:r>
        <w:r>
          <w:rPr>
            <w:rStyle w:val="Nmerodepgina"/>
            <w:rFonts w:ascii="Lato" w:hAnsi="Lato"/>
            <w:noProof/>
            <w:color w:val="595959" w:themeColor="text1" w:themeTint="A6"/>
            <w:sz w:val="22"/>
            <w:szCs w:val="22"/>
          </w:rPr>
          <w:t>9</w:t>
        </w:r>
        <w:r w:rsidRPr="00F70CA0">
          <w:rPr>
            <w:rStyle w:val="Nmerodepgina"/>
            <w:rFonts w:ascii="Lato" w:hAnsi="Lato"/>
            <w:color w:val="595959" w:themeColor="text1" w:themeTint="A6"/>
            <w:sz w:val="22"/>
            <w:szCs w:val="22"/>
          </w:rPr>
          <w:fldChar w:fldCharType="end"/>
        </w:r>
      </w:p>
    </w:sdtContent>
  </w:sdt>
  <w:p w:rsidR="00C90843" w:rsidRDefault="00C90843"/>
  <w:p w:rsidR="00C90843" w:rsidRDefault="00C90843"/>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90843" w:rsidRDefault="00C90843" w:rsidP="00542BAB">
    <w:pPr>
      <w:pStyle w:val="Piedepgina"/>
      <w:framePr w:wrap="none" w:vAnchor="text" w:hAnchor="margin" w:xAlign="right" w:y="1"/>
      <w:rPr>
        <w:rStyle w:val="Nmerodepgina"/>
      </w:rPr>
    </w:pPr>
    <w:r>
      <w:rPr>
        <w:rStyle w:val="Nmerodepgina"/>
      </w:rPr>
      <w:fldChar w:fldCharType="begin"/>
    </w:r>
    <w:r>
      <w:rPr>
        <w:rStyle w:val="Nmerodepgina"/>
      </w:rPr>
      <w:instrText xml:space="preserve">PAGE  </w:instrText>
    </w:r>
    <w:r>
      <w:rPr>
        <w:rStyle w:val="Nmerodepgina"/>
      </w:rPr>
      <w:fldChar w:fldCharType="end"/>
    </w:r>
  </w:p>
  <w:p w:rsidR="00C90843" w:rsidRDefault="00C90843" w:rsidP="00542BAB">
    <w:pPr>
      <w:pStyle w:val="Piedepgina"/>
      <w:ind w:right="36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90843" w:rsidRPr="001E3850" w:rsidRDefault="00C90843" w:rsidP="00542BAB">
    <w:pPr>
      <w:pStyle w:val="Piedepgina"/>
      <w:framePr w:wrap="notBeside" w:vAnchor="text" w:hAnchor="margin" w:xAlign="center" w:y="1"/>
      <w:jc w:val="center"/>
      <w:rPr>
        <w:rStyle w:val="Nmerodepgina"/>
        <w:rFonts w:ascii="Lato" w:hAnsi="Lato"/>
        <w:color w:val="595959" w:themeColor="text1" w:themeTint="A6"/>
        <w:sz w:val="22"/>
        <w:szCs w:val="22"/>
      </w:rPr>
    </w:pPr>
    <w:r w:rsidRPr="001E3850">
      <w:rPr>
        <w:rStyle w:val="Nmerodepgina"/>
        <w:rFonts w:ascii="Lato" w:hAnsi="Lato"/>
        <w:color w:val="595959" w:themeColor="text1" w:themeTint="A6"/>
        <w:sz w:val="22"/>
        <w:szCs w:val="22"/>
      </w:rPr>
      <w:fldChar w:fldCharType="begin"/>
    </w:r>
    <w:r w:rsidRPr="001E3850">
      <w:rPr>
        <w:rStyle w:val="Nmerodepgina"/>
        <w:rFonts w:ascii="Lato" w:hAnsi="Lato"/>
        <w:color w:val="595959" w:themeColor="text1" w:themeTint="A6"/>
        <w:sz w:val="22"/>
        <w:szCs w:val="22"/>
      </w:rPr>
      <w:instrText xml:space="preserve">PAGE  </w:instrText>
    </w:r>
    <w:r w:rsidRPr="001E3850">
      <w:rPr>
        <w:rStyle w:val="Nmerodepgina"/>
        <w:rFonts w:ascii="Lato" w:hAnsi="Lato"/>
        <w:color w:val="595959" w:themeColor="text1" w:themeTint="A6"/>
        <w:sz w:val="22"/>
        <w:szCs w:val="22"/>
      </w:rPr>
      <w:fldChar w:fldCharType="separate"/>
    </w:r>
    <w:r>
      <w:rPr>
        <w:rStyle w:val="Nmerodepgina"/>
        <w:rFonts w:ascii="Lato" w:hAnsi="Lato"/>
        <w:noProof/>
        <w:color w:val="595959" w:themeColor="text1" w:themeTint="A6"/>
        <w:sz w:val="22"/>
        <w:szCs w:val="22"/>
      </w:rPr>
      <w:t>211</w:t>
    </w:r>
    <w:r w:rsidRPr="001E3850">
      <w:rPr>
        <w:rStyle w:val="Nmerodepgina"/>
        <w:rFonts w:ascii="Lato" w:hAnsi="Lato"/>
        <w:color w:val="595959" w:themeColor="text1" w:themeTint="A6"/>
        <w:sz w:val="22"/>
        <w:szCs w:val="22"/>
      </w:rPr>
      <w:fldChar w:fldCharType="end"/>
    </w:r>
  </w:p>
  <w:p w:rsidR="00C90843" w:rsidRDefault="00C90843" w:rsidP="00542BAB">
    <w:pPr>
      <w:pStyle w:val="Piedepgina"/>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87388" w:rsidRDefault="00387388" w:rsidP="00C90843">
      <w:r>
        <w:separator/>
      </w:r>
    </w:p>
  </w:footnote>
  <w:footnote w:type="continuationSeparator" w:id="0">
    <w:p w:rsidR="00387388" w:rsidRDefault="00387388" w:rsidP="00C90843">
      <w:r>
        <w:continuationSeparator/>
      </w:r>
    </w:p>
  </w:footnote>
  <w:footnote w:id="1">
    <w:p w:rsidR="00C90843" w:rsidRPr="00E75252" w:rsidRDefault="00C90843" w:rsidP="00C90843">
      <w:pPr>
        <w:pStyle w:val="Textonotapie"/>
        <w:spacing w:line="288" w:lineRule="auto"/>
        <w:rPr>
          <w:rFonts w:ascii="Lato" w:hAnsi="Lato"/>
          <w:color w:val="595959" w:themeColor="text1" w:themeTint="A6"/>
          <w:sz w:val="16"/>
          <w:szCs w:val="16"/>
          <w:lang w:val="es-ES"/>
        </w:rPr>
      </w:pPr>
      <w:r w:rsidRPr="00E75252">
        <w:rPr>
          <w:rStyle w:val="Refdenotaalpie"/>
          <w:rFonts w:ascii="Lato" w:hAnsi="Lato"/>
          <w:color w:val="595959" w:themeColor="text1" w:themeTint="A6"/>
          <w:szCs w:val="16"/>
        </w:rPr>
        <w:footnoteRef/>
      </w:r>
      <w:r w:rsidRPr="00E75252">
        <w:rPr>
          <w:rFonts w:ascii="Lato" w:hAnsi="Lato"/>
          <w:color w:val="595959" w:themeColor="text1" w:themeTint="A6"/>
          <w:sz w:val="16"/>
          <w:szCs w:val="16"/>
        </w:rPr>
        <w:t xml:space="preserve"> </w:t>
      </w:r>
      <w:hyperlink r:id="rId1" w:history="1">
        <w:r w:rsidRPr="00E75252">
          <w:rPr>
            <w:rStyle w:val="Hipervnculo"/>
            <w:rFonts w:ascii="Lato" w:hAnsi="Lato"/>
            <w:color w:val="595959" w:themeColor="text1" w:themeTint="A6"/>
            <w:sz w:val="16"/>
            <w:szCs w:val="16"/>
          </w:rPr>
          <w:t>https://www.gob.mx/cms/uploads/attachment/file/60963/E-2040_completa.pdf</w:t>
        </w:r>
      </w:hyperlink>
    </w:p>
  </w:footnote>
  <w:footnote w:id="2">
    <w:p w:rsidR="00C90843" w:rsidRPr="00E75252" w:rsidRDefault="00C90843" w:rsidP="00C90843">
      <w:pPr>
        <w:pStyle w:val="Textonotapie"/>
        <w:spacing w:line="288" w:lineRule="auto"/>
        <w:rPr>
          <w:lang w:val="es-ES"/>
        </w:rPr>
      </w:pPr>
      <w:r w:rsidRPr="00E75252">
        <w:rPr>
          <w:rStyle w:val="Refdenotaalpie"/>
          <w:rFonts w:ascii="Lato" w:hAnsi="Lato"/>
          <w:color w:val="595959" w:themeColor="text1" w:themeTint="A6"/>
          <w:szCs w:val="16"/>
        </w:rPr>
        <w:footnoteRef/>
      </w:r>
      <w:r w:rsidRPr="00E75252">
        <w:rPr>
          <w:rFonts w:ascii="Lato" w:hAnsi="Lato"/>
          <w:color w:val="595959" w:themeColor="text1" w:themeTint="A6"/>
          <w:sz w:val="16"/>
          <w:szCs w:val="16"/>
          <w:lang w:val="es-ES"/>
        </w:rPr>
        <w:t xml:space="preserve"> </w:t>
      </w:r>
      <w:hyperlink r:id="rId2" w:history="1">
        <w:r w:rsidRPr="00E75252">
          <w:rPr>
            <w:rStyle w:val="Hipervnculo"/>
            <w:rFonts w:ascii="Lato" w:hAnsi="Lato"/>
            <w:color w:val="595959" w:themeColor="text1" w:themeTint="A6"/>
            <w:sz w:val="16"/>
            <w:szCs w:val="16"/>
            <w:lang w:val="es-ES"/>
          </w:rPr>
          <w:t>http://bioteca.biodiversidad.gob.mx/janium/Documentos/12890.pdf</w:t>
        </w:r>
      </w:hyperlink>
    </w:p>
  </w:footnote>
  <w:footnote w:id="3">
    <w:p w:rsidR="00C90843" w:rsidRPr="00D56AB5" w:rsidRDefault="00C90843" w:rsidP="00C90843">
      <w:pPr>
        <w:pStyle w:val="Textonotapie"/>
        <w:rPr>
          <w:rFonts w:ascii="Lato" w:hAnsi="Lato"/>
          <w:sz w:val="16"/>
          <w:szCs w:val="16"/>
          <w:lang w:val="es-ES"/>
        </w:rPr>
      </w:pPr>
      <w:r w:rsidRPr="00D56AB5">
        <w:rPr>
          <w:rStyle w:val="Refdenotaalpie"/>
          <w:rFonts w:ascii="Lato" w:hAnsi="Lato"/>
          <w:color w:val="595959" w:themeColor="text1" w:themeTint="A6"/>
          <w:szCs w:val="16"/>
        </w:rPr>
        <w:footnoteRef/>
      </w:r>
      <w:r w:rsidRPr="00D56AB5">
        <w:rPr>
          <w:rFonts w:ascii="Lato" w:hAnsi="Lato"/>
          <w:color w:val="595959" w:themeColor="text1" w:themeTint="A6"/>
          <w:sz w:val="16"/>
          <w:szCs w:val="16"/>
        </w:rPr>
        <w:t xml:space="preserve"> Los términos en mayúscula utilizados, pero no definidos en esta Declaración de Compromiso tienen el significado asignado al término en cuestión en las </w:t>
      </w:r>
      <w:r w:rsidRPr="00D56AB5">
        <w:rPr>
          <w:rFonts w:ascii="Lato" w:hAnsi="Lato"/>
          <w:i/>
          <w:iCs/>
          <w:color w:val="595959" w:themeColor="text1" w:themeTint="A6"/>
          <w:sz w:val="16"/>
          <w:szCs w:val="16"/>
        </w:rPr>
        <w:t>“Directrices para la Contratación de Servicios de Consultoría, Obras, Bienes, Plantas Industriales, y Servicios de No-Consultoría en el marco de la Cooperación Financiera con Países Socios”</w:t>
      </w:r>
      <w:r w:rsidRPr="00D56AB5">
        <w:rPr>
          <w:rFonts w:ascii="Lato" w:hAnsi="Lato"/>
          <w:color w:val="595959" w:themeColor="text1" w:themeTint="A6"/>
          <w:sz w:val="16"/>
          <w:szCs w:val="16"/>
        </w:rPr>
        <w:t xml:space="preserve"> de KfW.</w:t>
      </w:r>
    </w:p>
  </w:footnote>
  <w:footnote w:id="4">
    <w:p w:rsidR="00C90843" w:rsidRPr="00D56AB5" w:rsidRDefault="00C90843" w:rsidP="00C90843">
      <w:pPr>
        <w:pStyle w:val="Textonotapie"/>
        <w:rPr>
          <w:lang w:val="es-ES"/>
        </w:rPr>
      </w:pPr>
      <w:r w:rsidRPr="00D56AB5">
        <w:rPr>
          <w:rFonts w:ascii="Lato" w:hAnsi="Lato"/>
          <w:color w:val="595959" w:themeColor="text1" w:themeTint="A6"/>
          <w:sz w:val="16"/>
          <w:szCs w:val="16"/>
          <w:vertAlign w:val="superscript"/>
        </w:rPr>
        <w:footnoteRef/>
      </w:r>
      <w:r w:rsidRPr="00D56AB5">
        <w:rPr>
          <w:rFonts w:ascii="Lato" w:hAnsi="Lato"/>
          <w:color w:val="595959" w:themeColor="text1" w:themeTint="A6"/>
          <w:sz w:val="16"/>
          <w:szCs w:val="16"/>
        </w:rPr>
        <w:t xml:space="preserve"> La EEP es, según sea el caso, el comprador, el empleador, la entidad contratante, para la adquisición de servicios de Consultoría, obras, plantas industriales, Bienes o Servicios de No-Consultoría.</w:t>
      </w:r>
    </w:p>
  </w:footnote>
  <w:footnote w:id="5">
    <w:p w:rsidR="00C90843" w:rsidRPr="00451EFE" w:rsidRDefault="00C90843" w:rsidP="00C90843">
      <w:pPr>
        <w:pStyle w:val="Textonotapie"/>
        <w:rPr>
          <w:rFonts w:ascii="Lato" w:hAnsi="Lato"/>
          <w:sz w:val="16"/>
          <w:szCs w:val="16"/>
          <w:lang w:val="es-ES"/>
        </w:rPr>
      </w:pPr>
      <w:r w:rsidRPr="00451EFE">
        <w:rPr>
          <w:rStyle w:val="Refdenotaalpie"/>
          <w:rFonts w:ascii="Lato" w:hAnsi="Lato"/>
          <w:color w:val="595959" w:themeColor="text1" w:themeTint="A6"/>
          <w:szCs w:val="16"/>
        </w:rPr>
        <w:footnoteRef/>
      </w:r>
      <w:r w:rsidRPr="00451EFE">
        <w:rPr>
          <w:rFonts w:ascii="Lato" w:hAnsi="Lato"/>
          <w:color w:val="595959" w:themeColor="text1" w:themeTint="A6"/>
          <w:sz w:val="16"/>
          <w:szCs w:val="16"/>
        </w:rPr>
        <w:t xml:space="preserve"> En caso de que no se hayan ratificado o implementado plenamente los convenios de la OIT en el país del Contratante, el Postulante /Oferente/contratista propondrá y adoptará, a satisfacción del Contratante y del KfW, medidas adecuadas según el espíritu de dichos convenios de la OIT con respecto a (a) agravios de los trabajadores con respecto a las condiciones laborales y de empleo, (b) trabajo infantil, (c) trabajo forzado, (d) organizaciones de trabajadores y (e) la no discriminación.</w:t>
      </w:r>
    </w:p>
  </w:footnote>
  <w:footnote w:id="6">
    <w:p w:rsidR="00C90843" w:rsidRPr="00451EFE" w:rsidRDefault="00C90843" w:rsidP="00C90843">
      <w:pPr>
        <w:pStyle w:val="Textonotapie"/>
        <w:rPr>
          <w:rFonts w:ascii="Lato" w:hAnsi="Lato"/>
          <w:sz w:val="16"/>
          <w:szCs w:val="16"/>
          <w:lang w:val="es-ES"/>
        </w:rPr>
      </w:pPr>
      <w:r w:rsidRPr="00451EFE">
        <w:rPr>
          <w:rStyle w:val="Refdenotaalpie"/>
          <w:rFonts w:ascii="Lato" w:hAnsi="Lato"/>
          <w:color w:val="595959" w:themeColor="text1" w:themeTint="A6"/>
          <w:szCs w:val="16"/>
        </w:rPr>
        <w:footnoteRef/>
      </w:r>
      <w:r w:rsidRPr="00451EFE">
        <w:rPr>
          <w:rFonts w:ascii="Lato" w:hAnsi="Lato"/>
          <w:color w:val="595959" w:themeColor="text1" w:themeTint="A6"/>
          <w:sz w:val="16"/>
          <w:szCs w:val="16"/>
        </w:rPr>
        <w:t xml:space="preserve"> En caso de un Consorcio, indicar el nombre del Consorcio. La persona que firme la Solicitud, Oferta o Propuesta en nombre del Postulante /Oferente deberá adjuntar el poder de representación otorgado por el Postulante /Oferente.</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90843" w:rsidRDefault="00C90843" w:rsidP="00542BAB">
    <w:pPr>
      <w:jc w:val="right"/>
      <w:rPr>
        <w:rFonts w:ascii="Lato" w:hAnsi="Lato"/>
        <w:color w:val="3A8581"/>
        <w:sz w:val="16"/>
        <w:szCs w:val="16"/>
      </w:rPr>
    </w:pPr>
    <w:r>
      <w:rPr>
        <w:rFonts w:ascii="Lato" w:hAnsi="Lato"/>
        <w:color w:val="3A8581"/>
        <w:sz w:val="16"/>
        <w:szCs w:val="16"/>
      </w:rPr>
      <w:t>Manual de Operaciones</w:t>
    </w:r>
  </w:p>
  <w:p w:rsidR="00C90843" w:rsidRPr="00E61C65" w:rsidRDefault="00C90843" w:rsidP="00542BAB">
    <w:pPr>
      <w:jc w:val="right"/>
      <w:rPr>
        <w:rFonts w:ascii="Lato" w:hAnsi="Lato"/>
        <w:color w:val="3A8581"/>
        <w:sz w:val="16"/>
        <w:szCs w:val="16"/>
      </w:rPr>
    </w:pPr>
    <w:r>
      <w:rPr>
        <w:rFonts w:ascii="Lato" w:hAnsi="Lato"/>
        <w:color w:val="3A8581"/>
        <w:sz w:val="16"/>
        <w:szCs w:val="16"/>
      </w:rPr>
      <w:t>Febrero 2024</w:t>
    </w:r>
  </w:p>
  <w:p w:rsidR="00C90843" w:rsidRDefault="00C90843">
    <w:pPr>
      <w:pStyle w:val="Encabezado"/>
    </w:pPr>
    <w:r w:rsidRPr="00E61C65">
      <w:rPr>
        <w:noProof/>
        <w:lang w:eastAsia="es-MX"/>
      </w:rPr>
      <w:drawing>
        <wp:anchor distT="0" distB="0" distL="114300" distR="114300" simplePos="0" relativeHeight="251661312" behindDoc="0" locked="1" layoutInCell="1" allowOverlap="1" wp14:anchorId="18E76E79" wp14:editId="0185D7BA">
          <wp:simplePos x="0" y="0"/>
          <wp:positionH relativeFrom="page">
            <wp:posOffset>405765</wp:posOffset>
          </wp:positionH>
          <wp:positionV relativeFrom="page">
            <wp:posOffset>383540</wp:posOffset>
          </wp:positionV>
          <wp:extent cx="1717040" cy="640715"/>
          <wp:effectExtent l="0" t="0" r="0" b="0"/>
          <wp:wrapSquare wrapText="bothSides"/>
          <wp:docPr id="24"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1717040" cy="640715"/>
                  </a:xfrm>
                  <a:prstGeom prst="rect">
                    <a:avLst/>
                  </a:prstGeom>
                </pic:spPr>
              </pic:pic>
            </a:graphicData>
          </a:graphic>
          <wp14:sizeRelH relativeFrom="page">
            <wp14:pctWidth>0</wp14:pctWidth>
          </wp14:sizeRelH>
          <wp14:sizeRelV relativeFrom="page">
            <wp14:pctHeight>0</wp14:pctHeight>
          </wp14:sizeRelV>
        </wp:anchor>
      </w:drawing>
    </w:r>
  </w:p>
  <w:p w:rsidR="00C90843" w:rsidRDefault="00C9084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90843" w:rsidRDefault="00C90843">
    <w:pPr>
      <w:pStyle w:val="Encabezado"/>
    </w:pPr>
    <w:r>
      <w:rPr>
        <w:noProof/>
        <w:lang w:eastAsia="es-MX"/>
      </w:rPr>
      <mc:AlternateContent>
        <mc:Choice Requires="wps">
          <w:drawing>
            <wp:anchor distT="0" distB="0" distL="114300" distR="114300" simplePos="0" relativeHeight="251660288" behindDoc="0" locked="0" layoutInCell="1" allowOverlap="1" wp14:anchorId="06B19DCA" wp14:editId="66FF1018">
              <wp:simplePos x="0" y="0"/>
              <wp:positionH relativeFrom="margin">
                <wp:posOffset>3825240</wp:posOffset>
              </wp:positionH>
              <wp:positionV relativeFrom="paragraph">
                <wp:posOffset>42545</wp:posOffset>
              </wp:positionV>
              <wp:extent cx="1996440" cy="504825"/>
              <wp:effectExtent l="0" t="0" r="3810" b="9525"/>
              <wp:wrapNone/>
              <wp:docPr id="5" name="Cuadro de texto 5"/>
              <wp:cNvGraphicFramePr/>
              <a:graphic xmlns:a="http://schemas.openxmlformats.org/drawingml/2006/main">
                <a:graphicData uri="http://schemas.microsoft.com/office/word/2010/wordprocessingShape">
                  <wps:wsp>
                    <wps:cNvSpPr txBox="1"/>
                    <wps:spPr>
                      <a:xfrm>
                        <a:off x="0" y="0"/>
                        <a:ext cx="1996440" cy="504825"/>
                      </a:xfrm>
                      <a:prstGeom prst="rect">
                        <a:avLst/>
                      </a:prstGeom>
                      <a:solidFill>
                        <a:schemeClr val="lt1"/>
                      </a:solidFill>
                      <a:ln w="6350">
                        <a:noFill/>
                      </a:ln>
                    </wps:spPr>
                    <wps:txbx>
                      <w:txbxContent>
                        <w:p w:rsidR="00C90843" w:rsidRDefault="00C90843" w:rsidP="00542BAB">
                          <w:pPr>
                            <w:jc w:val="right"/>
                            <w:rPr>
                              <w:rFonts w:ascii="Lato" w:hAnsi="Lato"/>
                              <w:color w:val="3A8581"/>
                              <w:sz w:val="16"/>
                              <w:szCs w:val="16"/>
                            </w:rPr>
                          </w:pPr>
                          <w:r>
                            <w:rPr>
                              <w:rFonts w:ascii="Lato" w:hAnsi="Lato"/>
                              <w:color w:val="3A8581"/>
                              <w:sz w:val="16"/>
                              <w:szCs w:val="16"/>
                            </w:rPr>
                            <w:t>Manual de Operaciones</w:t>
                          </w:r>
                        </w:p>
                        <w:p w:rsidR="00C90843" w:rsidRPr="00E61C65" w:rsidRDefault="00C90843" w:rsidP="00542BAB">
                          <w:pPr>
                            <w:jc w:val="right"/>
                            <w:rPr>
                              <w:rFonts w:ascii="Lato" w:hAnsi="Lato"/>
                              <w:color w:val="3A8581"/>
                              <w:sz w:val="16"/>
                              <w:szCs w:val="16"/>
                            </w:rPr>
                          </w:pPr>
                          <w:r>
                            <w:rPr>
                              <w:rFonts w:ascii="Lato" w:hAnsi="Lato"/>
                              <w:color w:val="3A8581"/>
                              <w:sz w:val="16"/>
                              <w:szCs w:val="16"/>
                            </w:rPr>
                            <w:t>Febrero 2024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06B19DCA" id="_x0000_t202" coordsize="21600,21600" o:spt="202" path="m,l,21600r21600,l21600,xe">
              <v:stroke joinstyle="miter"/>
              <v:path gradientshapeok="t" o:connecttype="rect"/>
            </v:shapetype>
            <v:shape id="Cuadro de texto 5" o:spid="_x0000_s1026" type="#_x0000_t202" style="position:absolute;margin-left:301.2pt;margin-top:3.35pt;width:157.2pt;height:39.75pt;z-index:251660288;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" fillcolor="white [3201]" stroked="f" strokeweight=".5pt">
              <v:textbox>
                <w:txbxContent>
                  <w:p w:rsidR="00C90843" w:rsidRDefault="00C90843" w:rsidP="00542BAB">
                    <w:pPr>
                      <w:jc w:val="right"/>
                      <w:rPr>
                        <w:rFonts w:ascii="Lato" w:hAnsi="Lato"/>
                        <w:color w:val="3A8581"/>
                        <w:sz w:val="16"/>
                        <w:szCs w:val="16"/>
                      </w:rPr>
                    </w:pPr>
                    <w:r>
                      <w:rPr>
                        <w:rFonts w:ascii="Lato" w:hAnsi="Lato"/>
                        <w:color w:val="3A8581"/>
                        <w:sz w:val="16"/>
                        <w:szCs w:val="16"/>
                      </w:rPr>
                      <w:t>Manual de Operaciones</w:t>
                    </w:r>
                  </w:p>
                  <w:p w:rsidR="00C90843" w:rsidRPr="00E61C65" w:rsidRDefault="00C90843" w:rsidP="00542BAB">
                    <w:pPr>
                      <w:jc w:val="right"/>
                      <w:rPr>
                        <w:rFonts w:ascii="Lato" w:hAnsi="Lato"/>
                        <w:color w:val="3A8581"/>
                        <w:sz w:val="16"/>
                        <w:szCs w:val="16"/>
                      </w:rPr>
                    </w:pPr>
                    <w:r>
                      <w:rPr>
                        <w:rFonts w:ascii="Lato" w:hAnsi="Lato"/>
                        <w:color w:val="3A8581"/>
                        <w:sz w:val="16"/>
                        <w:szCs w:val="16"/>
                      </w:rPr>
                      <w:t>Febrero 2024</w:t>
                    </w:r>
                  </w:p>
                </w:txbxContent>
              </v:textbox>
              <w10:wrap anchorx="margin"/>
            </v:shape>
          </w:pict>
        </mc:Fallback>
      </mc:AlternateContent>
    </w:r>
  </w:p>
  <w:p w:rsidR="00C90843" w:rsidRDefault="00C90843">
    <w:pPr>
      <w:pStyle w:val="Encabezado"/>
    </w:pPr>
  </w:p>
  <w:p w:rsidR="00C90843" w:rsidRDefault="00C90843">
    <w:pPr>
      <w:pStyle w:val="Encabezado"/>
    </w:pPr>
  </w:p>
  <w:p w:rsidR="00C90843" w:rsidRDefault="00C90843">
    <w:pPr>
      <w:pStyle w:val="Encabezado"/>
    </w:pPr>
    <w:r w:rsidRPr="00021B7D">
      <w:rPr>
        <w:noProof/>
        <w:lang w:eastAsia="es-MX"/>
      </w:rPr>
      <w:drawing>
        <wp:anchor distT="0" distB="0" distL="114300" distR="114300" simplePos="0" relativeHeight="251659264" behindDoc="0" locked="1" layoutInCell="1" allowOverlap="1" wp14:anchorId="62195986" wp14:editId="018C41F3">
          <wp:simplePos x="0" y="0"/>
          <wp:positionH relativeFrom="page">
            <wp:posOffset>384810</wp:posOffset>
          </wp:positionH>
          <wp:positionV relativeFrom="page">
            <wp:posOffset>410210</wp:posOffset>
          </wp:positionV>
          <wp:extent cx="1717040" cy="640715"/>
          <wp:effectExtent l="0" t="0" r="0" b="0"/>
          <wp:wrapSquare wrapText="bothSides"/>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extLst>
                      <a:ext uri="{28A0092B-C50C-407E-A947-70E740481C1C}">
                        <a14:useLocalDpi xmlns:a14="http://schemas.microsoft.com/office/drawing/2010/main" val="0"/>
                      </a:ext>
                    </a:extLst>
                  </a:blip>
                  <a:stretch>
                    <a:fillRect/>
                  </a:stretch>
                </pic:blipFill>
                <pic:spPr>
                  <a:xfrm>
                    <a:off x="0" y="0"/>
                    <a:ext cx="1717040" cy="640715"/>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BA7338"/>
    <w:multiLevelType w:val="hybridMultilevel"/>
    <w:tmpl w:val="E4F2B82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15:restartNumberingAfterBreak="0">
    <w:nsid w:val="10512FCE"/>
    <w:multiLevelType w:val="multilevel"/>
    <w:tmpl w:val="5C5A3BE4"/>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lowerRoman"/>
      <w:lvlText w:val="%3."/>
      <w:lvlJc w:val="right"/>
      <w:pPr>
        <w:ind w:left="1080" w:hanging="360"/>
      </w:pPr>
      <w:rPr>
        <w:rFonts w:hint="default"/>
      </w:r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 w15:restartNumberingAfterBreak="0">
    <w:nsid w:val="1508031C"/>
    <w:multiLevelType w:val="hybridMultilevel"/>
    <w:tmpl w:val="040A0011"/>
    <w:styleLink w:val="Lista211"/>
    <w:lvl w:ilvl="0" w:tplc="040A0011">
      <w:start w:val="1"/>
      <w:numFmt w:val="decimal"/>
      <w:lvlText w:val="%1)"/>
      <w:lvlJc w:val="left"/>
      <w:pPr>
        <w:ind w:left="720" w:hanging="360"/>
      </w:pPr>
    </w:lvl>
    <w:lvl w:ilvl="1" w:tplc="040A0019" w:tentative="1">
      <w:start w:val="1"/>
      <w:numFmt w:val="lowerLetter"/>
      <w:lvlText w:val="%2."/>
      <w:lvlJc w:val="left"/>
      <w:pPr>
        <w:ind w:left="1800" w:hanging="360"/>
      </w:pPr>
    </w:lvl>
    <w:lvl w:ilvl="2" w:tplc="040A001B" w:tentative="1">
      <w:start w:val="1"/>
      <w:numFmt w:val="lowerRoman"/>
      <w:lvlText w:val="%3."/>
      <w:lvlJc w:val="right"/>
      <w:pPr>
        <w:ind w:left="2520" w:hanging="180"/>
      </w:pPr>
    </w:lvl>
    <w:lvl w:ilvl="3" w:tplc="040A000F" w:tentative="1">
      <w:start w:val="1"/>
      <w:numFmt w:val="decimal"/>
      <w:lvlText w:val="%4."/>
      <w:lvlJc w:val="left"/>
      <w:pPr>
        <w:ind w:left="3240" w:hanging="360"/>
      </w:pPr>
    </w:lvl>
    <w:lvl w:ilvl="4" w:tplc="040A0019" w:tentative="1">
      <w:start w:val="1"/>
      <w:numFmt w:val="lowerLetter"/>
      <w:lvlText w:val="%5."/>
      <w:lvlJc w:val="left"/>
      <w:pPr>
        <w:ind w:left="3960" w:hanging="360"/>
      </w:pPr>
    </w:lvl>
    <w:lvl w:ilvl="5" w:tplc="040A001B" w:tentative="1">
      <w:start w:val="1"/>
      <w:numFmt w:val="lowerRoman"/>
      <w:lvlText w:val="%6."/>
      <w:lvlJc w:val="right"/>
      <w:pPr>
        <w:ind w:left="4680" w:hanging="180"/>
      </w:pPr>
    </w:lvl>
    <w:lvl w:ilvl="6" w:tplc="040A000F" w:tentative="1">
      <w:start w:val="1"/>
      <w:numFmt w:val="decimal"/>
      <w:lvlText w:val="%7."/>
      <w:lvlJc w:val="left"/>
      <w:pPr>
        <w:ind w:left="5400" w:hanging="360"/>
      </w:pPr>
    </w:lvl>
    <w:lvl w:ilvl="7" w:tplc="040A0019" w:tentative="1">
      <w:start w:val="1"/>
      <w:numFmt w:val="lowerLetter"/>
      <w:lvlText w:val="%8."/>
      <w:lvlJc w:val="left"/>
      <w:pPr>
        <w:ind w:left="6120" w:hanging="360"/>
      </w:pPr>
    </w:lvl>
    <w:lvl w:ilvl="8" w:tplc="040A001B" w:tentative="1">
      <w:start w:val="1"/>
      <w:numFmt w:val="lowerRoman"/>
      <w:lvlText w:val="%9."/>
      <w:lvlJc w:val="right"/>
      <w:pPr>
        <w:ind w:left="6840" w:hanging="180"/>
      </w:pPr>
    </w:lvl>
  </w:abstractNum>
  <w:abstractNum w:abstractNumId="3" w15:restartNumberingAfterBreak="0">
    <w:nsid w:val="4516170F"/>
    <w:multiLevelType w:val="hybridMultilevel"/>
    <w:tmpl w:val="B27E1BAA"/>
    <w:lvl w:ilvl="0" w:tplc="080A0001">
      <w:start w:val="1"/>
      <w:numFmt w:val="bullet"/>
      <w:lvlText w:val=""/>
      <w:lvlJc w:val="left"/>
      <w:pPr>
        <w:ind w:left="1068" w:hanging="360"/>
      </w:pPr>
      <w:rPr>
        <w:rFonts w:ascii="Symbol" w:hAnsi="Symbol" w:hint="default"/>
      </w:rPr>
    </w:lvl>
    <w:lvl w:ilvl="1" w:tplc="BE72AD0E">
      <w:start w:val="5"/>
      <w:numFmt w:val="bullet"/>
      <w:lvlText w:val="•"/>
      <w:lvlJc w:val="left"/>
      <w:pPr>
        <w:ind w:left="2128" w:hanging="700"/>
      </w:pPr>
      <w:rPr>
        <w:rFonts w:ascii="Lato" w:eastAsiaTheme="minorHAnsi" w:hAnsi="Lato" w:cstheme="minorBidi" w:hint="default"/>
      </w:rPr>
    </w:lvl>
    <w:lvl w:ilvl="2" w:tplc="080A0005" w:tentative="1">
      <w:start w:val="1"/>
      <w:numFmt w:val="bullet"/>
      <w:lvlText w:val=""/>
      <w:lvlJc w:val="left"/>
      <w:pPr>
        <w:ind w:left="2508" w:hanging="360"/>
      </w:pPr>
      <w:rPr>
        <w:rFonts w:ascii="Wingdings" w:hAnsi="Wingdings" w:hint="default"/>
      </w:rPr>
    </w:lvl>
    <w:lvl w:ilvl="3" w:tplc="080A0001" w:tentative="1">
      <w:start w:val="1"/>
      <w:numFmt w:val="bullet"/>
      <w:lvlText w:val=""/>
      <w:lvlJc w:val="left"/>
      <w:pPr>
        <w:ind w:left="3228" w:hanging="360"/>
      </w:pPr>
      <w:rPr>
        <w:rFonts w:ascii="Symbol" w:hAnsi="Symbol" w:hint="default"/>
      </w:rPr>
    </w:lvl>
    <w:lvl w:ilvl="4" w:tplc="080A0003" w:tentative="1">
      <w:start w:val="1"/>
      <w:numFmt w:val="bullet"/>
      <w:lvlText w:val="o"/>
      <w:lvlJc w:val="left"/>
      <w:pPr>
        <w:ind w:left="3948" w:hanging="360"/>
      </w:pPr>
      <w:rPr>
        <w:rFonts w:ascii="Courier New" w:hAnsi="Courier New" w:cs="Courier New" w:hint="default"/>
      </w:rPr>
    </w:lvl>
    <w:lvl w:ilvl="5" w:tplc="080A0005" w:tentative="1">
      <w:start w:val="1"/>
      <w:numFmt w:val="bullet"/>
      <w:lvlText w:val=""/>
      <w:lvlJc w:val="left"/>
      <w:pPr>
        <w:ind w:left="4668" w:hanging="360"/>
      </w:pPr>
      <w:rPr>
        <w:rFonts w:ascii="Wingdings" w:hAnsi="Wingdings" w:hint="default"/>
      </w:rPr>
    </w:lvl>
    <w:lvl w:ilvl="6" w:tplc="080A0001" w:tentative="1">
      <w:start w:val="1"/>
      <w:numFmt w:val="bullet"/>
      <w:lvlText w:val=""/>
      <w:lvlJc w:val="left"/>
      <w:pPr>
        <w:ind w:left="5388" w:hanging="360"/>
      </w:pPr>
      <w:rPr>
        <w:rFonts w:ascii="Symbol" w:hAnsi="Symbol" w:hint="default"/>
      </w:rPr>
    </w:lvl>
    <w:lvl w:ilvl="7" w:tplc="080A0003" w:tentative="1">
      <w:start w:val="1"/>
      <w:numFmt w:val="bullet"/>
      <w:lvlText w:val="o"/>
      <w:lvlJc w:val="left"/>
      <w:pPr>
        <w:ind w:left="6108" w:hanging="360"/>
      </w:pPr>
      <w:rPr>
        <w:rFonts w:ascii="Courier New" w:hAnsi="Courier New" w:cs="Courier New" w:hint="default"/>
      </w:rPr>
    </w:lvl>
    <w:lvl w:ilvl="8" w:tplc="080A0005" w:tentative="1">
      <w:start w:val="1"/>
      <w:numFmt w:val="bullet"/>
      <w:lvlText w:val=""/>
      <w:lvlJc w:val="left"/>
      <w:pPr>
        <w:ind w:left="6828" w:hanging="360"/>
      </w:pPr>
      <w:rPr>
        <w:rFonts w:ascii="Wingdings" w:hAnsi="Wingdings" w:hint="default"/>
      </w:rPr>
    </w:lvl>
  </w:abstractNum>
  <w:abstractNum w:abstractNumId="4" w15:restartNumberingAfterBreak="0">
    <w:nsid w:val="507D06BB"/>
    <w:multiLevelType w:val="hybridMultilevel"/>
    <w:tmpl w:val="09705B1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5" w15:restartNumberingAfterBreak="0">
    <w:nsid w:val="53F826D7"/>
    <w:multiLevelType w:val="multilevel"/>
    <w:tmpl w:val="6C24100C"/>
    <w:styleLink w:val="Lista21"/>
    <w:lvl w:ilvl="0">
      <w:numFmt w:val="bullet"/>
      <w:lvlText w:val="-"/>
      <w:lvlJc w:val="left"/>
      <w:rPr>
        <w:color w:val="7F8685"/>
        <w:position w:val="0"/>
        <w:lang w:val="es-ES_tradnl"/>
      </w:rPr>
    </w:lvl>
    <w:lvl w:ilvl="1">
      <w:start w:val="1"/>
      <w:numFmt w:val="bullet"/>
      <w:lvlText w:val="-"/>
      <w:lvlJc w:val="left"/>
      <w:rPr>
        <w:color w:val="7F8685"/>
        <w:position w:val="0"/>
        <w:lang w:val="es-ES_tradnl"/>
      </w:rPr>
    </w:lvl>
    <w:lvl w:ilvl="2">
      <w:start w:val="1"/>
      <w:numFmt w:val="bullet"/>
      <w:lvlText w:val="-"/>
      <w:lvlJc w:val="left"/>
      <w:rPr>
        <w:color w:val="7F8685"/>
        <w:position w:val="0"/>
        <w:lang w:val="es-ES_tradnl"/>
      </w:rPr>
    </w:lvl>
    <w:lvl w:ilvl="3">
      <w:start w:val="1"/>
      <w:numFmt w:val="bullet"/>
      <w:lvlText w:val="-"/>
      <w:lvlJc w:val="left"/>
      <w:rPr>
        <w:color w:val="7F8685"/>
        <w:position w:val="0"/>
        <w:lang w:val="es-ES_tradnl"/>
      </w:rPr>
    </w:lvl>
    <w:lvl w:ilvl="4">
      <w:start w:val="1"/>
      <w:numFmt w:val="bullet"/>
      <w:lvlText w:val="-"/>
      <w:lvlJc w:val="left"/>
      <w:rPr>
        <w:color w:val="7F8685"/>
        <w:position w:val="0"/>
        <w:lang w:val="es-ES_tradnl"/>
      </w:rPr>
    </w:lvl>
    <w:lvl w:ilvl="5">
      <w:start w:val="1"/>
      <w:numFmt w:val="bullet"/>
      <w:lvlText w:val="-"/>
      <w:lvlJc w:val="left"/>
      <w:rPr>
        <w:color w:val="7F8685"/>
        <w:position w:val="0"/>
        <w:lang w:val="es-ES_tradnl"/>
      </w:rPr>
    </w:lvl>
    <w:lvl w:ilvl="6">
      <w:start w:val="1"/>
      <w:numFmt w:val="bullet"/>
      <w:lvlText w:val="-"/>
      <w:lvlJc w:val="left"/>
      <w:rPr>
        <w:color w:val="7F8685"/>
        <w:position w:val="0"/>
        <w:lang w:val="es-ES_tradnl"/>
      </w:rPr>
    </w:lvl>
    <w:lvl w:ilvl="7">
      <w:start w:val="1"/>
      <w:numFmt w:val="bullet"/>
      <w:lvlText w:val="-"/>
      <w:lvlJc w:val="left"/>
      <w:rPr>
        <w:color w:val="7F8685"/>
        <w:position w:val="0"/>
        <w:lang w:val="es-ES_tradnl"/>
      </w:rPr>
    </w:lvl>
    <w:lvl w:ilvl="8">
      <w:start w:val="1"/>
      <w:numFmt w:val="bullet"/>
      <w:lvlText w:val="-"/>
      <w:lvlJc w:val="left"/>
      <w:rPr>
        <w:color w:val="7F8685"/>
        <w:position w:val="0"/>
        <w:lang w:val="es-ES_tradnl"/>
      </w:rPr>
    </w:lvl>
  </w:abstractNum>
  <w:abstractNum w:abstractNumId="6" w15:restartNumberingAfterBreak="0">
    <w:nsid w:val="6B5603B6"/>
    <w:multiLevelType w:val="hybridMultilevel"/>
    <w:tmpl w:val="28DCF39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15:restartNumberingAfterBreak="0">
    <w:nsid w:val="6D6D2C37"/>
    <w:multiLevelType w:val="multilevel"/>
    <w:tmpl w:val="E43202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2"/>
  </w:num>
  <w:num w:numId="2">
    <w:abstractNumId w:val="5"/>
  </w:num>
  <w:num w:numId="3">
    <w:abstractNumId w:val="3"/>
  </w:num>
  <w:num w:numId="4">
    <w:abstractNumId w:val="0"/>
  </w:num>
  <w:num w:numId="5">
    <w:abstractNumId w:val="1"/>
  </w:num>
  <w:num w:numId="6">
    <w:abstractNumId w:val="6"/>
  </w:num>
  <w:num w:numId="7">
    <w:abstractNumId w:val="4"/>
  </w:num>
  <w:num w:numId="8">
    <w:abstractNumId w:val="7"/>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0843"/>
    <w:rsid w:val="00387388"/>
    <w:rsid w:val="00C90843"/>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B5E8AB8B-5512-42BA-8F55-5DB87D5CBA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C90843"/>
    <w:pPr>
      <w:spacing w:after="0" w:line="240" w:lineRule="auto"/>
    </w:pPr>
    <w:rPr>
      <w:rFonts w:eastAsiaTheme="minorEastAsia"/>
      <w:sz w:val="24"/>
      <w:szCs w:val="24"/>
      <w:lang w:eastAsia="es-ES"/>
    </w:rPr>
  </w:style>
  <w:style w:type="paragraph" w:styleId="Ttulo1">
    <w:name w:val="heading 1"/>
    <w:basedOn w:val="Normal"/>
    <w:next w:val="Normal"/>
    <w:link w:val="Ttulo1Car"/>
    <w:uiPriority w:val="9"/>
    <w:qFormat/>
    <w:rsid w:val="00C90843"/>
    <w:pPr>
      <w:keepNext/>
      <w:keepLines/>
      <w:spacing w:before="480"/>
      <w:outlineLvl w:val="0"/>
    </w:pPr>
    <w:rPr>
      <w:rFonts w:asciiTheme="majorHAnsi" w:eastAsiaTheme="majorEastAsia" w:hAnsiTheme="majorHAnsi" w:cstheme="majorBidi"/>
      <w:b/>
      <w:bCs/>
      <w:color w:val="2F5496" w:themeColor="accent1" w:themeShade="BF"/>
      <w:sz w:val="28"/>
      <w:szCs w:val="28"/>
    </w:rPr>
  </w:style>
  <w:style w:type="paragraph" w:styleId="Ttulo2">
    <w:name w:val="heading 2"/>
    <w:basedOn w:val="Normal"/>
    <w:next w:val="Normal"/>
    <w:link w:val="Ttulo2Car"/>
    <w:uiPriority w:val="9"/>
    <w:unhideWhenUsed/>
    <w:qFormat/>
    <w:rsid w:val="00C90843"/>
    <w:pPr>
      <w:keepNext/>
      <w:keepLines/>
      <w:spacing w:before="200"/>
      <w:outlineLvl w:val="1"/>
    </w:pPr>
    <w:rPr>
      <w:rFonts w:asciiTheme="majorHAnsi" w:eastAsiaTheme="majorEastAsia" w:hAnsiTheme="majorHAnsi" w:cstheme="majorBidi"/>
      <w:b/>
      <w:bCs/>
      <w:color w:val="4472C4" w:themeColor="accent1"/>
      <w:sz w:val="26"/>
      <w:szCs w:val="26"/>
    </w:rPr>
  </w:style>
  <w:style w:type="paragraph" w:styleId="Ttulo3">
    <w:name w:val="heading 3"/>
    <w:basedOn w:val="Normal"/>
    <w:next w:val="Normal"/>
    <w:link w:val="Ttulo3Car"/>
    <w:uiPriority w:val="9"/>
    <w:unhideWhenUsed/>
    <w:qFormat/>
    <w:rsid w:val="00C90843"/>
    <w:pPr>
      <w:keepNext/>
      <w:keepLines/>
      <w:spacing w:before="200"/>
      <w:outlineLvl w:val="2"/>
    </w:pPr>
    <w:rPr>
      <w:rFonts w:asciiTheme="majorHAnsi" w:eastAsiaTheme="majorEastAsia" w:hAnsiTheme="majorHAnsi" w:cstheme="majorBidi"/>
      <w:b/>
      <w:bCs/>
      <w:color w:val="4472C4" w:themeColor="accent1"/>
    </w:rPr>
  </w:style>
  <w:style w:type="paragraph" w:styleId="Ttulo4">
    <w:name w:val="heading 4"/>
    <w:basedOn w:val="Normal"/>
    <w:next w:val="Normal"/>
    <w:link w:val="Ttulo4Car"/>
    <w:uiPriority w:val="9"/>
    <w:unhideWhenUsed/>
    <w:qFormat/>
    <w:rsid w:val="00C90843"/>
    <w:pPr>
      <w:keepNext/>
      <w:keepLines/>
      <w:spacing w:before="200"/>
      <w:outlineLvl w:val="3"/>
    </w:pPr>
    <w:rPr>
      <w:rFonts w:asciiTheme="majorHAnsi" w:eastAsiaTheme="majorEastAsia" w:hAnsiTheme="majorHAnsi" w:cstheme="majorBidi"/>
      <w:b/>
      <w:bCs/>
      <w:i/>
      <w:iCs/>
      <w:color w:val="4472C4" w:themeColor="accent1"/>
    </w:rPr>
  </w:style>
  <w:style w:type="paragraph" w:styleId="Ttulo5">
    <w:name w:val="heading 5"/>
    <w:basedOn w:val="Normal"/>
    <w:next w:val="Normal"/>
    <w:link w:val="Ttulo5Car"/>
    <w:uiPriority w:val="9"/>
    <w:unhideWhenUsed/>
    <w:qFormat/>
    <w:rsid w:val="00C90843"/>
    <w:pPr>
      <w:keepNext/>
      <w:keepLines/>
      <w:spacing w:before="40" w:line="288" w:lineRule="auto"/>
      <w:outlineLvl w:val="4"/>
    </w:pPr>
    <w:rPr>
      <w:rFonts w:asciiTheme="majorHAnsi" w:eastAsiaTheme="majorEastAsia" w:hAnsiTheme="majorHAnsi" w:cstheme="majorBidi"/>
      <w:i/>
      <w:iCs/>
      <w:color w:val="70AD47" w:themeColor="accent6"/>
      <w:sz w:val="22"/>
      <w:szCs w:val="22"/>
      <w:lang w:eastAsia="es-MX"/>
    </w:rPr>
  </w:style>
  <w:style w:type="paragraph" w:styleId="Ttulo6">
    <w:name w:val="heading 6"/>
    <w:basedOn w:val="Normal"/>
    <w:next w:val="Normal"/>
    <w:link w:val="Ttulo6Car"/>
    <w:uiPriority w:val="9"/>
    <w:unhideWhenUsed/>
    <w:qFormat/>
    <w:rsid w:val="00C90843"/>
    <w:pPr>
      <w:keepNext/>
      <w:keepLines/>
      <w:spacing w:before="40" w:line="288" w:lineRule="auto"/>
      <w:outlineLvl w:val="5"/>
    </w:pPr>
    <w:rPr>
      <w:rFonts w:asciiTheme="majorHAnsi" w:eastAsiaTheme="majorEastAsia" w:hAnsiTheme="majorHAnsi" w:cstheme="majorBidi"/>
      <w:color w:val="70AD47" w:themeColor="accent6"/>
      <w:sz w:val="21"/>
      <w:szCs w:val="21"/>
      <w:lang w:eastAsia="es-MX"/>
    </w:rPr>
  </w:style>
  <w:style w:type="paragraph" w:styleId="Ttulo7">
    <w:name w:val="heading 7"/>
    <w:basedOn w:val="Normal"/>
    <w:next w:val="Normal"/>
    <w:link w:val="Ttulo7Car"/>
    <w:uiPriority w:val="9"/>
    <w:unhideWhenUsed/>
    <w:qFormat/>
    <w:rsid w:val="00C90843"/>
    <w:pPr>
      <w:keepNext/>
      <w:keepLines/>
      <w:spacing w:before="40" w:line="288" w:lineRule="auto"/>
      <w:outlineLvl w:val="6"/>
    </w:pPr>
    <w:rPr>
      <w:rFonts w:asciiTheme="majorHAnsi" w:eastAsiaTheme="majorEastAsia" w:hAnsiTheme="majorHAnsi" w:cstheme="majorBidi"/>
      <w:b/>
      <w:bCs/>
      <w:color w:val="70AD47" w:themeColor="accent6"/>
      <w:sz w:val="21"/>
      <w:szCs w:val="21"/>
      <w:lang w:eastAsia="es-MX"/>
    </w:rPr>
  </w:style>
  <w:style w:type="paragraph" w:styleId="Ttulo8">
    <w:name w:val="heading 8"/>
    <w:basedOn w:val="Normal"/>
    <w:next w:val="Normal"/>
    <w:link w:val="Ttulo8Car"/>
    <w:uiPriority w:val="9"/>
    <w:semiHidden/>
    <w:unhideWhenUsed/>
    <w:qFormat/>
    <w:rsid w:val="00C90843"/>
    <w:pPr>
      <w:keepNext/>
      <w:keepLines/>
      <w:spacing w:before="40" w:line="288" w:lineRule="auto"/>
      <w:outlineLvl w:val="7"/>
    </w:pPr>
    <w:rPr>
      <w:rFonts w:asciiTheme="majorHAnsi" w:eastAsiaTheme="majorEastAsia" w:hAnsiTheme="majorHAnsi" w:cstheme="majorBidi"/>
      <w:b/>
      <w:bCs/>
      <w:i/>
      <w:iCs/>
      <w:color w:val="70AD47" w:themeColor="accent6"/>
      <w:sz w:val="20"/>
      <w:szCs w:val="20"/>
      <w:lang w:eastAsia="es-MX"/>
    </w:rPr>
  </w:style>
  <w:style w:type="paragraph" w:styleId="Ttulo9">
    <w:name w:val="heading 9"/>
    <w:basedOn w:val="Normal"/>
    <w:next w:val="Normal"/>
    <w:link w:val="Ttulo9Car"/>
    <w:uiPriority w:val="9"/>
    <w:semiHidden/>
    <w:unhideWhenUsed/>
    <w:qFormat/>
    <w:rsid w:val="00C90843"/>
    <w:pPr>
      <w:keepNext/>
      <w:keepLines/>
      <w:spacing w:before="40" w:line="288" w:lineRule="auto"/>
      <w:outlineLvl w:val="8"/>
    </w:pPr>
    <w:rPr>
      <w:rFonts w:asciiTheme="majorHAnsi" w:eastAsiaTheme="majorEastAsia" w:hAnsiTheme="majorHAnsi" w:cstheme="majorBidi"/>
      <w:i/>
      <w:iCs/>
      <w:color w:val="70AD47" w:themeColor="accent6"/>
      <w:sz w:val="20"/>
      <w:szCs w:val="20"/>
      <w:lang w:eastAsia="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C90843"/>
    <w:rPr>
      <w:rFonts w:asciiTheme="majorHAnsi" w:eastAsiaTheme="majorEastAsia" w:hAnsiTheme="majorHAnsi" w:cstheme="majorBidi"/>
      <w:b/>
      <w:bCs/>
      <w:color w:val="2F5496" w:themeColor="accent1" w:themeShade="BF"/>
      <w:sz w:val="28"/>
      <w:szCs w:val="28"/>
      <w:lang w:eastAsia="es-ES"/>
    </w:rPr>
  </w:style>
  <w:style w:type="character" w:customStyle="1" w:styleId="Ttulo2Car">
    <w:name w:val="Título 2 Car"/>
    <w:basedOn w:val="Fuentedeprrafopredeter"/>
    <w:link w:val="Ttulo2"/>
    <w:uiPriority w:val="9"/>
    <w:rsid w:val="00C90843"/>
    <w:rPr>
      <w:rFonts w:asciiTheme="majorHAnsi" w:eastAsiaTheme="majorEastAsia" w:hAnsiTheme="majorHAnsi" w:cstheme="majorBidi"/>
      <w:b/>
      <w:bCs/>
      <w:color w:val="4472C4" w:themeColor="accent1"/>
      <w:sz w:val="26"/>
      <w:szCs w:val="26"/>
      <w:lang w:eastAsia="es-ES"/>
    </w:rPr>
  </w:style>
  <w:style w:type="character" w:customStyle="1" w:styleId="Ttulo3Car">
    <w:name w:val="Título 3 Car"/>
    <w:basedOn w:val="Fuentedeprrafopredeter"/>
    <w:link w:val="Ttulo3"/>
    <w:uiPriority w:val="9"/>
    <w:rsid w:val="00C90843"/>
    <w:rPr>
      <w:rFonts w:asciiTheme="majorHAnsi" w:eastAsiaTheme="majorEastAsia" w:hAnsiTheme="majorHAnsi" w:cstheme="majorBidi"/>
      <w:b/>
      <w:bCs/>
      <w:color w:val="4472C4" w:themeColor="accent1"/>
      <w:sz w:val="24"/>
      <w:szCs w:val="24"/>
      <w:lang w:eastAsia="es-ES"/>
    </w:rPr>
  </w:style>
  <w:style w:type="character" w:customStyle="1" w:styleId="Ttulo4Car">
    <w:name w:val="Título 4 Car"/>
    <w:basedOn w:val="Fuentedeprrafopredeter"/>
    <w:link w:val="Ttulo4"/>
    <w:uiPriority w:val="9"/>
    <w:rsid w:val="00C90843"/>
    <w:rPr>
      <w:rFonts w:asciiTheme="majorHAnsi" w:eastAsiaTheme="majorEastAsia" w:hAnsiTheme="majorHAnsi" w:cstheme="majorBidi"/>
      <w:b/>
      <w:bCs/>
      <w:i/>
      <w:iCs/>
      <w:color w:val="4472C4" w:themeColor="accent1"/>
      <w:sz w:val="24"/>
      <w:szCs w:val="24"/>
      <w:lang w:eastAsia="es-ES"/>
    </w:rPr>
  </w:style>
  <w:style w:type="character" w:customStyle="1" w:styleId="Ttulo5Car">
    <w:name w:val="Título 5 Car"/>
    <w:basedOn w:val="Fuentedeprrafopredeter"/>
    <w:link w:val="Ttulo5"/>
    <w:uiPriority w:val="9"/>
    <w:rsid w:val="00C90843"/>
    <w:rPr>
      <w:rFonts w:asciiTheme="majorHAnsi" w:eastAsiaTheme="majorEastAsia" w:hAnsiTheme="majorHAnsi" w:cstheme="majorBidi"/>
      <w:i/>
      <w:iCs/>
      <w:color w:val="70AD47" w:themeColor="accent6"/>
      <w:lang w:eastAsia="es-MX"/>
    </w:rPr>
  </w:style>
  <w:style w:type="character" w:customStyle="1" w:styleId="Ttulo6Car">
    <w:name w:val="Título 6 Car"/>
    <w:basedOn w:val="Fuentedeprrafopredeter"/>
    <w:link w:val="Ttulo6"/>
    <w:uiPriority w:val="9"/>
    <w:rsid w:val="00C90843"/>
    <w:rPr>
      <w:rFonts w:asciiTheme="majorHAnsi" w:eastAsiaTheme="majorEastAsia" w:hAnsiTheme="majorHAnsi" w:cstheme="majorBidi"/>
      <w:color w:val="70AD47" w:themeColor="accent6"/>
      <w:sz w:val="21"/>
      <w:szCs w:val="21"/>
      <w:lang w:eastAsia="es-MX"/>
    </w:rPr>
  </w:style>
  <w:style w:type="character" w:customStyle="1" w:styleId="Ttulo7Car">
    <w:name w:val="Título 7 Car"/>
    <w:basedOn w:val="Fuentedeprrafopredeter"/>
    <w:link w:val="Ttulo7"/>
    <w:uiPriority w:val="9"/>
    <w:rsid w:val="00C90843"/>
    <w:rPr>
      <w:rFonts w:asciiTheme="majorHAnsi" w:eastAsiaTheme="majorEastAsia" w:hAnsiTheme="majorHAnsi" w:cstheme="majorBidi"/>
      <w:b/>
      <w:bCs/>
      <w:color w:val="70AD47" w:themeColor="accent6"/>
      <w:sz w:val="21"/>
      <w:szCs w:val="21"/>
      <w:lang w:eastAsia="es-MX"/>
    </w:rPr>
  </w:style>
  <w:style w:type="character" w:customStyle="1" w:styleId="Ttulo8Car">
    <w:name w:val="Título 8 Car"/>
    <w:basedOn w:val="Fuentedeprrafopredeter"/>
    <w:link w:val="Ttulo8"/>
    <w:uiPriority w:val="9"/>
    <w:semiHidden/>
    <w:rsid w:val="00C90843"/>
    <w:rPr>
      <w:rFonts w:asciiTheme="majorHAnsi" w:eastAsiaTheme="majorEastAsia" w:hAnsiTheme="majorHAnsi" w:cstheme="majorBidi"/>
      <w:b/>
      <w:bCs/>
      <w:i/>
      <w:iCs/>
      <w:color w:val="70AD47" w:themeColor="accent6"/>
      <w:sz w:val="20"/>
      <w:szCs w:val="20"/>
      <w:lang w:eastAsia="es-MX"/>
    </w:rPr>
  </w:style>
  <w:style w:type="character" w:customStyle="1" w:styleId="Ttulo9Car">
    <w:name w:val="Título 9 Car"/>
    <w:basedOn w:val="Fuentedeprrafopredeter"/>
    <w:link w:val="Ttulo9"/>
    <w:uiPriority w:val="9"/>
    <w:semiHidden/>
    <w:rsid w:val="00C90843"/>
    <w:rPr>
      <w:rFonts w:asciiTheme="majorHAnsi" w:eastAsiaTheme="majorEastAsia" w:hAnsiTheme="majorHAnsi" w:cstheme="majorBidi"/>
      <w:i/>
      <w:iCs/>
      <w:color w:val="70AD47" w:themeColor="accent6"/>
      <w:sz w:val="20"/>
      <w:szCs w:val="20"/>
      <w:lang w:eastAsia="es-MX"/>
    </w:rPr>
  </w:style>
  <w:style w:type="paragraph" w:styleId="Encabezado">
    <w:name w:val="header"/>
    <w:basedOn w:val="Normal"/>
    <w:link w:val="EncabezadoCar"/>
    <w:uiPriority w:val="99"/>
    <w:unhideWhenUsed/>
    <w:rsid w:val="00C90843"/>
    <w:pPr>
      <w:tabs>
        <w:tab w:val="center" w:pos="4252"/>
        <w:tab w:val="right" w:pos="8504"/>
      </w:tabs>
    </w:pPr>
  </w:style>
  <w:style w:type="character" w:customStyle="1" w:styleId="EncabezadoCar">
    <w:name w:val="Encabezado Car"/>
    <w:basedOn w:val="Fuentedeprrafopredeter"/>
    <w:link w:val="Encabezado"/>
    <w:uiPriority w:val="99"/>
    <w:rsid w:val="00C90843"/>
    <w:rPr>
      <w:rFonts w:eastAsiaTheme="minorEastAsia"/>
      <w:sz w:val="24"/>
      <w:szCs w:val="24"/>
      <w:lang w:eastAsia="es-ES"/>
    </w:rPr>
  </w:style>
  <w:style w:type="paragraph" w:styleId="Piedepgina">
    <w:name w:val="footer"/>
    <w:basedOn w:val="Normal"/>
    <w:link w:val="PiedepginaCar"/>
    <w:uiPriority w:val="99"/>
    <w:unhideWhenUsed/>
    <w:rsid w:val="00C90843"/>
    <w:pPr>
      <w:tabs>
        <w:tab w:val="center" w:pos="4252"/>
        <w:tab w:val="right" w:pos="8504"/>
      </w:tabs>
    </w:pPr>
  </w:style>
  <w:style w:type="character" w:customStyle="1" w:styleId="PiedepginaCar">
    <w:name w:val="Pie de página Car"/>
    <w:basedOn w:val="Fuentedeprrafopredeter"/>
    <w:link w:val="Piedepgina"/>
    <w:uiPriority w:val="99"/>
    <w:rsid w:val="00C90843"/>
    <w:rPr>
      <w:rFonts w:eastAsiaTheme="minorEastAsia"/>
      <w:sz w:val="24"/>
      <w:szCs w:val="24"/>
      <w:lang w:eastAsia="es-ES"/>
    </w:rPr>
  </w:style>
  <w:style w:type="paragraph" w:styleId="Textodeglobo">
    <w:name w:val="Balloon Text"/>
    <w:basedOn w:val="Normal"/>
    <w:link w:val="TextodegloboCar"/>
    <w:uiPriority w:val="99"/>
    <w:semiHidden/>
    <w:unhideWhenUsed/>
    <w:rsid w:val="00C90843"/>
    <w:rPr>
      <w:rFonts w:ascii="Lucida Grande" w:hAnsi="Lucida Grande" w:cs="Lucida Grande"/>
      <w:sz w:val="18"/>
      <w:szCs w:val="18"/>
    </w:rPr>
  </w:style>
  <w:style w:type="character" w:customStyle="1" w:styleId="TextodegloboCar">
    <w:name w:val="Texto de globo Car"/>
    <w:basedOn w:val="Fuentedeprrafopredeter"/>
    <w:link w:val="Textodeglobo"/>
    <w:uiPriority w:val="99"/>
    <w:semiHidden/>
    <w:rsid w:val="00C90843"/>
    <w:rPr>
      <w:rFonts w:ascii="Lucida Grande" w:eastAsiaTheme="minorEastAsia" w:hAnsi="Lucida Grande" w:cs="Lucida Grande"/>
      <w:sz w:val="18"/>
      <w:szCs w:val="18"/>
      <w:lang w:eastAsia="es-ES"/>
    </w:rPr>
  </w:style>
  <w:style w:type="paragraph" w:styleId="NormalWeb">
    <w:name w:val="Normal (Web)"/>
    <w:basedOn w:val="Normal"/>
    <w:uiPriority w:val="99"/>
    <w:unhideWhenUsed/>
    <w:rsid w:val="00C90843"/>
    <w:pPr>
      <w:spacing w:before="100" w:beforeAutospacing="1" w:after="100" w:afterAutospacing="1"/>
    </w:pPr>
    <w:rPr>
      <w:rFonts w:ascii="Times New Roman" w:hAnsi="Times New Roman" w:cs="Times New Roman"/>
      <w:sz w:val="20"/>
      <w:szCs w:val="20"/>
    </w:rPr>
  </w:style>
  <w:style w:type="table" w:styleId="Tablaconcuadrcula">
    <w:name w:val="Table Grid"/>
    <w:aliases w:val="Tabla CFE"/>
    <w:basedOn w:val="Tablanormal"/>
    <w:uiPriority w:val="39"/>
    <w:rsid w:val="00C9084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aliases w:val="Numbered Para 1,Dot pt,No Spacing1,List Paragraph Char Char Char,Indicator Text,List Paragraph1,Bullet Points,Bullet 1,MAIN CONTENT,List Paragraph12,F5 List Paragraph,lp1,List Paragraph (numbered (a)),List number Paragraph,References,Ha"/>
    <w:basedOn w:val="Normal"/>
    <w:link w:val="PrrafodelistaCar"/>
    <w:uiPriority w:val="34"/>
    <w:qFormat/>
    <w:rsid w:val="00C90843"/>
    <w:pPr>
      <w:spacing w:after="200" w:line="276" w:lineRule="auto"/>
      <w:ind w:left="720"/>
      <w:contextualSpacing/>
    </w:pPr>
    <w:rPr>
      <w:rFonts w:eastAsiaTheme="minorHAnsi"/>
      <w:sz w:val="22"/>
      <w:szCs w:val="22"/>
      <w:lang w:eastAsia="en-US"/>
    </w:rPr>
  </w:style>
  <w:style w:type="character" w:customStyle="1" w:styleId="PrrafodelistaCar">
    <w:name w:val="Párrafo de lista Car"/>
    <w:aliases w:val="Numbered Para 1 Car,Dot pt Car,No Spacing1 Car,List Paragraph Char Char Char Car,Indicator Text Car,List Paragraph1 Car,Bullet Points Car,Bullet 1 Car,MAIN CONTENT Car,List Paragraph12 Car,F5 List Paragraph Car,lp1 Car,Ha Car"/>
    <w:link w:val="Prrafodelista"/>
    <w:uiPriority w:val="34"/>
    <w:qFormat/>
    <w:locked/>
    <w:rsid w:val="00C90843"/>
  </w:style>
  <w:style w:type="paragraph" w:customStyle="1" w:styleId="Texto">
    <w:name w:val="Texto"/>
    <w:basedOn w:val="Normal"/>
    <w:link w:val="TextoCar"/>
    <w:rsid w:val="00C90843"/>
    <w:pPr>
      <w:spacing w:after="101" w:line="216" w:lineRule="exact"/>
      <w:ind w:firstLine="288"/>
      <w:jc w:val="both"/>
    </w:pPr>
    <w:rPr>
      <w:rFonts w:ascii="Arial" w:eastAsia="Times New Roman" w:hAnsi="Arial" w:cs="Arial"/>
      <w:sz w:val="18"/>
      <w:szCs w:val="18"/>
      <w:lang w:val="es-ES"/>
    </w:rPr>
  </w:style>
  <w:style w:type="paragraph" w:customStyle="1" w:styleId="Default">
    <w:name w:val="Default"/>
    <w:rsid w:val="00C90843"/>
    <w:pPr>
      <w:autoSpaceDE w:val="0"/>
      <w:autoSpaceDN w:val="0"/>
      <w:adjustRightInd w:val="0"/>
      <w:spacing w:after="0" w:line="240" w:lineRule="auto"/>
    </w:pPr>
    <w:rPr>
      <w:rFonts w:ascii="Calibri" w:eastAsiaTheme="minorEastAsia" w:hAnsi="Calibri" w:cs="Calibri"/>
      <w:color w:val="000000"/>
      <w:sz w:val="24"/>
      <w:szCs w:val="24"/>
      <w:lang w:eastAsia="es-ES"/>
    </w:rPr>
  </w:style>
  <w:style w:type="paragraph" w:styleId="ndice1">
    <w:name w:val="index 1"/>
    <w:basedOn w:val="Normal"/>
    <w:next w:val="Normal"/>
    <w:autoRedefine/>
    <w:uiPriority w:val="99"/>
    <w:unhideWhenUsed/>
    <w:rsid w:val="00C90843"/>
    <w:pPr>
      <w:ind w:left="240" w:hanging="240"/>
    </w:pPr>
  </w:style>
  <w:style w:type="paragraph" w:styleId="TtuloTDC">
    <w:name w:val="TOC Heading"/>
    <w:basedOn w:val="Ttulo1"/>
    <w:next w:val="Normal"/>
    <w:uiPriority w:val="39"/>
    <w:unhideWhenUsed/>
    <w:qFormat/>
    <w:rsid w:val="00C90843"/>
    <w:pPr>
      <w:spacing w:line="276" w:lineRule="auto"/>
      <w:outlineLvl w:val="9"/>
    </w:pPr>
    <w:rPr>
      <w:lang w:eastAsia="es-MX"/>
    </w:rPr>
  </w:style>
  <w:style w:type="paragraph" w:styleId="TDC1">
    <w:name w:val="toc 1"/>
    <w:basedOn w:val="Normal"/>
    <w:next w:val="Normal"/>
    <w:autoRedefine/>
    <w:uiPriority w:val="39"/>
    <w:unhideWhenUsed/>
    <w:rsid w:val="00C90843"/>
    <w:pPr>
      <w:tabs>
        <w:tab w:val="right" w:leader="dot" w:pos="8828"/>
      </w:tabs>
      <w:spacing w:after="100"/>
    </w:pPr>
  </w:style>
  <w:style w:type="paragraph" w:styleId="TDC2">
    <w:name w:val="toc 2"/>
    <w:basedOn w:val="Normal"/>
    <w:next w:val="Normal"/>
    <w:autoRedefine/>
    <w:uiPriority w:val="39"/>
    <w:unhideWhenUsed/>
    <w:rsid w:val="00C90843"/>
    <w:pPr>
      <w:spacing w:after="100"/>
      <w:ind w:left="240"/>
    </w:pPr>
  </w:style>
  <w:style w:type="paragraph" w:styleId="TDC3">
    <w:name w:val="toc 3"/>
    <w:basedOn w:val="Normal"/>
    <w:next w:val="Normal"/>
    <w:autoRedefine/>
    <w:uiPriority w:val="39"/>
    <w:unhideWhenUsed/>
    <w:rsid w:val="00C90843"/>
    <w:pPr>
      <w:spacing w:after="100"/>
      <w:ind w:left="480"/>
    </w:pPr>
  </w:style>
  <w:style w:type="character" w:styleId="Hipervnculo">
    <w:name w:val="Hyperlink"/>
    <w:basedOn w:val="Fuentedeprrafopredeter"/>
    <w:uiPriority w:val="99"/>
    <w:unhideWhenUsed/>
    <w:rsid w:val="00C90843"/>
    <w:rPr>
      <w:color w:val="0563C1" w:themeColor="hyperlink"/>
      <w:u w:val="single"/>
    </w:rPr>
  </w:style>
  <w:style w:type="paragraph" w:styleId="Textoindependiente">
    <w:name w:val="Body Text"/>
    <w:basedOn w:val="Normal"/>
    <w:link w:val="TextoindependienteCar"/>
    <w:uiPriority w:val="1"/>
    <w:qFormat/>
    <w:rsid w:val="00C90843"/>
    <w:pPr>
      <w:spacing w:after="200" w:line="288" w:lineRule="auto"/>
      <w:jc w:val="both"/>
    </w:pPr>
    <w:rPr>
      <w:rFonts w:ascii="Arial" w:eastAsia="Times New Roman" w:hAnsi="Arial"/>
      <w:szCs w:val="20"/>
      <w:lang w:val="es-ES_tradnl"/>
    </w:rPr>
  </w:style>
  <w:style w:type="character" w:customStyle="1" w:styleId="TextoindependienteCar">
    <w:name w:val="Texto independiente Car"/>
    <w:basedOn w:val="Fuentedeprrafopredeter"/>
    <w:link w:val="Textoindependiente"/>
    <w:uiPriority w:val="1"/>
    <w:rsid w:val="00C90843"/>
    <w:rPr>
      <w:rFonts w:ascii="Arial" w:eastAsia="Times New Roman" w:hAnsi="Arial"/>
      <w:sz w:val="24"/>
      <w:szCs w:val="20"/>
      <w:lang w:val="es-ES_tradnl" w:eastAsia="es-ES"/>
    </w:rPr>
  </w:style>
  <w:style w:type="paragraph" w:customStyle="1" w:styleId="Pa6">
    <w:name w:val="Pa6"/>
    <w:basedOn w:val="Default"/>
    <w:next w:val="Default"/>
    <w:uiPriority w:val="99"/>
    <w:rsid w:val="00C90843"/>
    <w:pPr>
      <w:spacing w:line="241" w:lineRule="atLeast"/>
    </w:pPr>
    <w:rPr>
      <w:rFonts w:ascii="Gill Sans MT" w:eastAsiaTheme="minorHAnsi" w:hAnsi="Gill Sans MT" w:cstheme="minorBidi"/>
      <w:color w:val="auto"/>
      <w:lang w:eastAsia="en-US"/>
    </w:rPr>
  </w:style>
  <w:style w:type="paragraph" w:customStyle="1" w:styleId="Pa8">
    <w:name w:val="Pa8"/>
    <w:basedOn w:val="Default"/>
    <w:next w:val="Default"/>
    <w:uiPriority w:val="99"/>
    <w:rsid w:val="00C90843"/>
    <w:pPr>
      <w:spacing w:line="261" w:lineRule="atLeast"/>
    </w:pPr>
    <w:rPr>
      <w:rFonts w:ascii="Gill Sans MT" w:eastAsiaTheme="minorHAnsi" w:hAnsi="Gill Sans MT" w:cstheme="minorBidi"/>
      <w:color w:val="auto"/>
      <w:lang w:eastAsia="en-US"/>
    </w:rPr>
  </w:style>
  <w:style w:type="paragraph" w:customStyle="1" w:styleId="Listavistosa-nfasis11">
    <w:name w:val="Lista vistosa - Énfasis 11"/>
    <w:basedOn w:val="Normal"/>
    <w:uiPriority w:val="34"/>
    <w:rsid w:val="00C90843"/>
    <w:pPr>
      <w:spacing w:after="200" w:line="276" w:lineRule="auto"/>
      <w:ind w:left="720"/>
      <w:contextualSpacing/>
    </w:pPr>
    <w:rPr>
      <w:rFonts w:ascii="Calibri" w:eastAsia="Calibri" w:hAnsi="Calibri"/>
      <w:sz w:val="21"/>
      <w:szCs w:val="21"/>
      <w:lang w:val="en-US" w:eastAsia="en-US"/>
    </w:rPr>
  </w:style>
  <w:style w:type="character" w:customStyle="1" w:styleId="A4">
    <w:name w:val="A4"/>
    <w:uiPriority w:val="99"/>
    <w:rsid w:val="00C90843"/>
    <w:rPr>
      <w:rFonts w:cs="Gill Sans MT"/>
      <w:color w:val="000000"/>
    </w:rPr>
  </w:style>
  <w:style w:type="character" w:styleId="Refdenotaalpie">
    <w:name w:val="footnote reference"/>
    <w:basedOn w:val="Fuentedeprrafopredeter"/>
    <w:uiPriority w:val="99"/>
    <w:unhideWhenUsed/>
    <w:rsid w:val="00C90843"/>
    <w:rPr>
      <w:vertAlign w:val="superscript"/>
    </w:rPr>
  </w:style>
  <w:style w:type="paragraph" w:styleId="Textoindependiente2">
    <w:name w:val="Body Text 2"/>
    <w:basedOn w:val="Normal"/>
    <w:link w:val="Textoindependiente2Car"/>
    <w:unhideWhenUsed/>
    <w:rsid w:val="00C90843"/>
    <w:pPr>
      <w:spacing w:after="120" w:line="480" w:lineRule="auto"/>
    </w:pPr>
  </w:style>
  <w:style w:type="character" w:customStyle="1" w:styleId="Textoindependiente2Car">
    <w:name w:val="Texto independiente 2 Car"/>
    <w:basedOn w:val="Fuentedeprrafopredeter"/>
    <w:link w:val="Textoindependiente2"/>
    <w:rsid w:val="00C90843"/>
    <w:rPr>
      <w:rFonts w:eastAsiaTheme="minorEastAsia"/>
      <w:sz w:val="24"/>
      <w:szCs w:val="24"/>
      <w:lang w:eastAsia="es-ES"/>
    </w:rPr>
  </w:style>
  <w:style w:type="numbering" w:customStyle="1" w:styleId="Lista211">
    <w:name w:val="Lista 211"/>
    <w:basedOn w:val="Sinlista"/>
    <w:rsid w:val="00C90843"/>
    <w:pPr>
      <w:numPr>
        <w:numId w:val="1"/>
      </w:numPr>
    </w:pPr>
  </w:style>
  <w:style w:type="paragraph" w:customStyle="1" w:styleId="footnotedescription">
    <w:name w:val="footnote description"/>
    <w:next w:val="Normal"/>
    <w:link w:val="footnotedescriptionChar"/>
    <w:hidden/>
    <w:rsid w:val="00C90843"/>
    <w:pPr>
      <w:spacing w:after="0"/>
      <w:ind w:left="348"/>
    </w:pPr>
    <w:rPr>
      <w:rFonts w:ascii="Gill Sans MT" w:eastAsia="Gill Sans MT" w:hAnsi="Gill Sans MT" w:cs="Gill Sans MT"/>
      <w:color w:val="000000"/>
      <w:sz w:val="16"/>
      <w:lang w:eastAsia="es-MX"/>
    </w:rPr>
  </w:style>
  <w:style w:type="character" w:customStyle="1" w:styleId="footnotedescriptionChar">
    <w:name w:val="footnote description Char"/>
    <w:link w:val="footnotedescription"/>
    <w:rsid w:val="00C90843"/>
    <w:rPr>
      <w:rFonts w:ascii="Gill Sans MT" w:eastAsia="Gill Sans MT" w:hAnsi="Gill Sans MT" w:cs="Gill Sans MT"/>
      <w:color w:val="000000"/>
      <w:sz w:val="16"/>
      <w:lang w:eastAsia="es-MX"/>
    </w:rPr>
  </w:style>
  <w:style w:type="character" w:customStyle="1" w:styleId="footnotemark">
    <w:name w:val="footnote mark"/>
    <w:hidden/>
    <w:rsid w:val="00C90843"/>
    <w:rPr>
      <w:rFonts w:ascii="Gill Sans MT" w:eastAsia="Gill Sans MT" w:hAnsi="Gill Sans MT" w:cs="Gill Sans MT"/>
      <w:color w:val="000000"/>
      <w:sz w:val="16"/>
      <w:vertAlign w:val="superscript"/>
    </w:rPr>
  </w:style>
  <w:style w:type="paragraph" w:styleId="Textonotapie">
    <w:name w:val="footnote text"/>
    <w:aliases w:val="single space,footnote text,fn,FOOTNOTES,Footnote Text Char2,Footnote Text Char1 Char1,Footnote Text Char Char Char1,Footnote Text Char1 Char Char,Footnote Text Char Char Char Char,Footnote Text Char Char1 Char,ft,ADB,fn Char Char,f,9"/>
    <w:basedOn w:val="Normal"/>
    <w:link w:val="TextonotapieCar"/>
    <w:uiPriority w:val="99"/>
    <w:unhideWhenUsed/>
    <w:qFormat/>
    <w:rsid w:val="00C90843"/>
    <w:rPr>
      <w:sz w:val="20"/>
      <w:szCs w:val="20"/>
    </w:rPr>
  </w:style>
  <w:style w:type="character" w:customStyle="1" w:styleId="TextonotapieCar">
    <w:name w:val="Texto nota pie Car"/>
    <w:aliases w:val="single space Car,footnote text Car,fn Car,FOOTNOTES Car,Footnote Text Char2 Car,Footnote Text Char1 Char1 Car,Footnote Text Char Char Char1 Car,Footnote Text Char1 Char Char Car,Footnote Text Char Char Char Char Car,ft Car,ADB Car"/>
    <w:basedOn w:val="Fuentedeprrafopredeter"/>
    <w:link w:val="Textonotapie"/>
    <w:uiPriority w:val="99"/>
    <w:rsid w:val="00C90843"/>
    <w:rPr>
      <w:rFonts w:eastAsiaTheme="minorEastAsia"/>
      <w:sz w:val="20"/>
      <w:szCs w:val="20"/>
      <w:lang w:eastAsia="es-ES"/>
    </w:rPr>
  </w:style>
  <w:style w:type="paragraph" w:styleId="TDC4">
    <w:name w:val="toc 4"/>
    <w:basedOn w:val="Normal"/>
    <w:next w:val="Normal"/>
    <w:autoRedefine/>
    <w:uiPriority w:val="39"/>
    <w:unhideWhenUsed/>
    <w:rsid w:val="00C90843"/>
    <w:pPr>
      <w:spacing w:after="100" w:line="259" w:lineRule="auto"/>
      <w:ind w:left="660"/>
    </w:pPr>
    <w:rPr>
      <w:sz w:val="22"/>
      <w:szCs w:val="22"/>
      <w:lang w:eastAsia="es-MX"/>
    </w:rPr>
  </w:style>
  <w:style w:type="paragraph" w:styleId="TDC5">
    <w:name w:val="toc 5"/>
    <w:basedOn w:val="Normal"/>
    <w:next w:val="Normal"/>
    <w:autoRedefine/>
    <w:uiPriority w:val="39"/>
    <w:unhideWhenUsed/>
    <w:rsid w:val="00C90843"/>
    <w:pPr>
      <w:spacing w:after="100" w:line="259" w:lineRule="auto"/>
      <w:ind w:left="880"/>
    </w:pPr>
    <w:rPr>
      <w:sz w:val="22"/>
      <w:szCs w:val="22"/>
      <w:lang w:eastAsia="es-MX"/>
    </w:rPr>
  </w:style>
  <w:style w:type="paragraph" w:styleId="TDC6">
    <w:name w:val="toc 6"/>
    <w:basedOn w:val="Normal"/>
    <w:next w:val="Normal"/>
    <w:autoRedefine/>
    <w:uiPriority w:val="39"/>
    <w:unhideWhenUsed/>
    <w:rsid w:val="00C90843"/>
    <w:pPr>
      <w:spacing w:after="100" w:line="259" w:lineRule="auto"/>
      <w:ind w:left="1100"/>
    </w:pPr>
    <w:rPr>
      <w:sz w:val="22"/>
      <w:szCs w:val="22"/>
      <w:lang w:eastAsia="es-MX"/>
    </w:rPr>
  </w:style>
  <w:style w:type="paragraph" w:styleId="TDC7">
    <w:name w:val="toc 7"/>
    <w:basedOn w:val="Normal"/>
    <w:next w:val="Normal"/>
    <w:autoRedefine/>
    <w:uiPriority w:val="39"/>
    <w:unhideWhenUsed/>
    <w:rsid w:val="00C90843"/>
    <w:pPr>
      <w:spacing w:after="100" w:line="259" w:lineRule="auto"/>
      <w:ind w:left="1320"/>
    </w:pPr>
    <w:rPr>
      <w:sz w:val="22"/>
      <w:szCs w:val="22"/>
      <w:lang w:eastAsia="es-MX"/>
    </w:rPr>
  </w:style>
  <w:style w:type="paragraph" w:styleId="TDC8">
    <w:name w:val="toc 8"/>
    <w:basedOn w:val="Normal"/>
    <w:next w:val="Normal"/>
    <w:autoRedefine/>
    <w:uiPriority w:val="39"/>
    <w:unhideWhenUsed/>
    <w:rsid w:val="00C90843"/>
    <w:pPr>
      <w:spacing w:after="100" w:line="259" w:lineRule="auto"/>
      <w:ind w:left="1540"/>
    </w:pPr>
    <w:rPr>
      <w:sz w:val="22"/>
      <w:szCs w:val="22"/>
      <w:lang w:eastAsia="es-MX"/>
    </w:rPr>
  </w:style>
  <w:style w:type="paragraph" w:styleId="TDC9">
    <w:name w:val="toc 9"/>
    <w:basedOn w:val="Normal"/>
    <w:next w:val="Normal"/>
    <w:autoRedefine/>
    <w:uiPriority w:val="39"/>
    <w:unhideWhenUsed/>
    <w:rsid w:val="00C90843"/>
    <w:pPr>
      <w:spacing w:after="100" w:line="259" w:lineRule="auto"/>
      <w:ind w:left="1760"/>
    </w:pPr>
    <w:rPr>
      <w:sz w:val="22"/>
      <w:szCs w:val="22"/>
      <w:lang w:eastAsia="es-MX"/>
    </w:rPr>
  </w:style>
  <w:style w:type="paragraph" w:styleId="ndice2">
    <w:name w:val="index 2"/>
    <w:basedOn w:val="Normal"/>
    <w:next w:val="Normal"/>
    <w:autoRedefine/>
    <w:uiPriority w:val="99"/>
    <w:unhideWhenUsed/>
    <w:rsid w:val="00C90843"/>
    <w:pPr>
      <w:spacing w:after="200" w:line="288" w:lineRule="auto"/>
      <w:ind w:left="440" w:hanging="220"/>
    </w:pPr>
    <w:rPr>
      <w:sz w:val="18"/>
      <w:szCs w:val="18"/>
      <w:lang w:eastAsia="es-MX"/>
    </w:rPr>
  </w:style>
  <w:style w:type="paragraph" w:styleId="ndice3">
    <w:name w:val="index 3"/>
    <w:basedOn w:val="Normal"/>
    <w:next w:val="Normal"/>
    <w:autoRedefine/>
    <w:uiPriority w:val="99"/>
    <w:unhideWhenUsed/>
    <w:rsid w:val="00C90843"/>
    <w:pPr>
      <w:spacing w:after="200" w:line="288" w:lineRule="auto"/>
      <w:ind w:left="660" w:hanging="220"/>
    </w:pPr>
    <w:rPr>
      <w:sz w:val="18"/>
      <w:szCs w:val="18"/>
      <w:lang w:eastAsia="es-MX"/>
    </w:rPr>
  </w:style>
  <w:style w:type="paragraph" w:styleId="ndice4">
    <w:name w:val="index 4"/>
    <w:basedOn w:val="Normal"/>
    <w:next w:val="Normal"/>
    <w:autoRedefine/>
    <w:uiPriority w:val="99"/>
    <w:unhideWhenUsed/>
    <w:rsid w:val="00C90843"/>
    <w:pPr>
      <w:spacing w:after="200" w:line="288" w:lineRule="auto"/>
      <w:ind w:left="880" w:hanging="220"/>
    </w:pPr>
    <w:rPr>
      <w:sz w:val="18"/>
      <w:szCs w:val="18"/>
      <w:lang w:eastAsia="es-MX"/>
    </w:rPr>
  </w:style>
  <w:style w:type="paragraph" w:styleId="ndice5">
    <w:name w:val="index 5"/>
    <w:basedOn w:val="Normal"/>
    <w:next w:val="Normal"/>
    <w:autoRedefine/>
    <w:uiPriority w:val="99"/>
    <w:unhideWhenUsed/>
    <w:rsid w:val="00C90843"/>
    <w:pPr>
      <w:spacing w:after="200" w:line="288" w:lineRule="auto"/>
      <w:ind w:left="1100" w:hanging="220"/>
    </w:pPr>
    <w:rPr>
      <w:sz w:val="18"/>
      <w:szCs w:val="18"/>
      <w:lang w:eastAsia="es-MX"/>
    </w:rPr>
  </w:style>
  <w:style w:type="paragraph" w:styleId="ndice6">
    <w:name w:val="index 6"/>
    <w:basedOn w:val="Normal"/>
    <w:next w:val="Normal"/>
    <w:autoRedefine/>
    <w:uiPriority w:val="99"/>
    <w:unhideWhenUsed/>
    <w:rsid w:val="00C90843"/>
    <w:pPr>
      <w:spacing w:after="200" w:line="288" w:lineRule="auto"/>
      <w:ind w:left="1320" w:hanging="220"/>
    </w:pPr>
    <w:rPr>
      <w:sz w:val="18"/>
      <w:szCs w:val="18"/>
      <w:lang w:eastAsia="es-MX"/>
    </w:rPr>
  </w:style>
  <w:style w:type="paragraph" w:styleId="ndice7">
    <w:name w:val="index 7"/>
    <w:basedOn w:val="Normal"/>
    <w:next w:val="Normal"/>
    <w:autoRedefine/>
    <w:uiPriority w:val="99"/>
    <w:unhideWhenUsed/>
    <w:rsid w:val="00C90843"/>
    <w:pPr>
      <w:spacing w:after="200" w:line="288" w:lineRule="auto"/>
      <w:ind w:left="1540" w:hanging="220"/>
    </w:pPr>
    <w:rPr>
      <w:sz w:val="18"/>
      <w:szCs w:val="18"/>
      <w:lang w:eastAsia="es-MX"/>
    </w:rPr>
  </w:style>
  <w:style w:type="paragraph" w:styleId="ndice8">
    <w:name w:val="index 8"/>
    <w:basedOn w:val="Normal"/>
    <w:next w:val="Normal"/>
    <w:autoRedefine/>
    <w:uiPriority w:val="99"/>
    <w:unhideWhenUsed/>
    <w:rsid w:val="00C90843"/>
    <w:pPr>
      <w:spacing w:after="200" w:line="288" w:lineRule="auto"/>
      <w:ind w:left="1760" w:hanging="220"/>
    </w:pPr>
    <w:rPr>
      <w:sz w:val="18"/>
      <w:szCs w:val="18"/>
      <w:lang w:eastAsia="es-MX"/>
    </w:rPr>
  </w:style>
  <w:style w:type="paragraph" w:styleId="ndice9">
    <w:name w:val="index 9"/>
    <w:basedOn w:val="Normal"/>
    <w:next w:val="Normal"/>
    <w:autoRedefine/>
    <w:uiPriority w:val="99"/>
    <w:unhideWhenUsed/>
    <w:rsid w:val="00C90843"/>
    <w:pPr>
      <w:spacing w:after="200" w:line="288" w:lineRule="auto"/>
      <w:ind w:left="1980" w:hanging="220"/>
    </w:pPr>
    <w:rPr>
      <w:sz w:val="18"/>
      <w:szCs w:val="18"/>
      <w:lang w:eastAsia="es-MX"/>
    </w:rPr>
  </w:style>
  <w:style w:type="paragraph" w:styleId="Ttulodendice">
    <w:name w:val="index heading"/>
    <w:basedOn w:val="Normal"/>
    <w:next w:val="ndice1"/>
    <w:uiPriority w:val="99"/>
    <w:unhideWhenUsed/>
    <w:rsid w:val="00C90843"/>
    <w:pPr>
      <w:spacing w:before="240" w:after="120" w:line="288" w:lineRule="auto"/>
      <w:jc w:val="center"/>
    </w:pPr>
    <w:rPr>
      <w:b/>
      <w:bCs/>
      <w:sz w:val="26"/>
      <w:szCs w:val="26"/>
      <w:lang w:eastAsia="es-MX"/>
    </w:rPr>
  </w:style>
  <w:style w:type="character" w:styleId="Refdecomentario">
    <w:name w:val="annotation reference"/>
    <w:basedOn w:val="Fuentedeprrafopredeter"/>
    <w:uiPriority w:val="99"/>
    <w:semiHidden/>
    <w:unhideWhenUsed/>
    <w:rsid w:val="00C90843"/>
    <w:rPr>
      <w:sz w:val="18"/>
      <w:szCs w:val="18"/>
    </w:rPr>
  </w:style>
  <w:style w:type="paragraph" w:styleId="Textocomentario">
    <w:name w:val="annotation text"/>
    <w:basedOn w:val="Normal"/>
    <w:link w:val="TextocomentarioCar"/>
    <w:uiPriority w:val="99"/>
    <w:unhideWhenUsed/>
    <w:rsid w:val="00C90843"/>
    <w:pPr>
      <w:spacing w:after="200" w:line="288" w:lineRule="auto"/>
    </w:pPr>
    <w:rPr>
      <w:lang w:val="es-ES_tradnl"/>
    </w:rPr>
  </w:style>
  <w:style w:type="character" w:customStyle="1" w:styleId="TextocomentarioCar">
    <w:name w:val="Texto comentario Car"/>
    <w:basedOn w:val="Fuentedeprrafopredeter"/>
    <w:link w:val="Textocomentario"/>
    <w:uiPriority w:val="99"/>
    <w:rsid w:val="00C90843"/>
    <w:rPr>
      <w:rFonts w:eastAsiaTheme="minorEastAsia"/>
      <w:sz w:val="24"/>
      <w:szCs w:val="24"/>
      <w:lang w:val="es-ES_tradnl" w:eastAsia="es-ES"/>
    </w:rPr>
  </w:style>
  <w:style w:type="paragraph" w:styleId="Asuntodelcomentario">
    <w:name w:val="annotation subject"/>
    <w:basedOn w:val="Textocomentario"/>
    <w:next w:val="Textocomentario"/>
    <w:link w:val="AsuntodelcomentarioCar"/>
    <w:uiPriority w:val="99"/>
    <w:semiHidden/>
    <w:unhideWhenUsed/>
    <w:rsid w:val="00C90843"/>
    <w:rPr>
      <w:b/>
      <w:bCs/>
      <w:sz w:val="20"/>
      <w:szCs w:val="20"/>
    </w:rPr>
  </w:style>
  <w:style w:type="character" w:customStyle="1" w:styleId="AsuntodelcomentarioCar">
    <w:name w:val="Asunto del comentario Car"/>
    <w:basedOn w:val="TextocomentarioCar"/>
    <w:link w:val="Asuntodelcomentario"/>
    <w:uiPriority w:val="99"/>
    <w:semiHidden/>
    <w:rsid w:val="00C90843"/>
    <w:rPr>
      <w:rFonts w:eastAsiaTheme="minorEastAsia"/>
      <w:b/>
      <w:bCs/>
      <w:sz w:val="20"/>
      <w:szCs w:val="20"/>
      <w:lang w:val="es-ES_tradnl" w:eastAsia="es-ES"/>
    </w:rPr>
  </w:style>
  <w:style w:type="paragraph" w:styleId="Revisin">
    <w:name w:val="Revision"/>
    <w:hidden/>
    <w:uiPriority w:val="99"/>
    <w:semiHidden/>
    <w:rsid w:val="00C90843"/>
    <w:pPr>
      <w:spacing w:after="200" w:line="288" w:lineRule="auto"/>
    </w:pPr>
    <w:rPr>
      <w:rFonts w:eastAsiaTheme="minorEastAsia"/>
      <w:sz w:val="24"/>
      <w:szCs w:val="24"/>
      <w:lang w:val="es-ES_tradnl" w:eastAsia="es-ES"/>
    </w:rPr>
  </w:style>
  <w:style w:type="character" w:styleId="Nmerodepgina">
    <w:name w:val="page number"/>
    <w:basedOn w:val="Fuentedeprrafopredeter"/>
    <w:uiPriority w:val="99"/>
    <w:semiHidden/>
    <w:unhideWhenUsed/>
    <w:rsid w:val="00C90843"/>
  </w:style>
  <w:style w:type="paragraph" w:customStyle="1" w:styleId="FMCNndice">
    <w:name w:val="FMCN índice"/>
    <w:basedOn w:val="Normal"/>
    <w:link w:val="FMCNndiceCar"/>
    <w:rsid w:val="00C90843"/>
    <w:pPr>
      <w:autoSpaceDE w:val="0"/>
      <w:autoSpaceDN w:val="0"/>
      <w:adjustRightInd w:val="0"/>
      <w:spacing w:beforeLines="60" w:before="144" w:afterLines="60" w:after="144" w:line="288" w:lineRule="auto"/>
      <w:ind w:right="-79"/>
      <w:jc w:val="both"/>
      <w:outlineLvl w:val="1"/>
    </w:pPr>
    <w:rPr>
      <w:rFonts w:ascii="Arial" w:eastAsia="Times New Roman" w:hAnsi="Arial" w:cs="Arial"/>
      <w:b/>
      <w:color w:val="000000"/>
      <w:lang w:val="es-ES"/>
    </w:rPr>
  </w:style>
  <w:style w:type="character" w:customStyle="1" w:styleId="FMCNndiceCar">
    <w:name w:val="FMCN índice Car"/>
    <w:basedOn w:val="Fuentedeprrafopredeter"/>
    <w:link w:val="FMCNndice"/>
    <w:rsid w:val="00C90843"/>
    <w:rPr>
      <w:rFonts w:ascii="Arial" w:eastAsia="Times New Roman" w:hAnsi="Arial" w:cs="Arial"/>
      <w:b/>
      <w:color w:val="000000"/>
      <w:sz w:val="24"/>
      <w:szCs w:val="24"/>
      <w:lang w:val="es-ES" w:eastAsia="es-ES"/>
    </w:rPr>
  </w:style>
  <w:style w:type="table" w:styleId="Listaclara-nfasis3">
    <w:name w:val="Light List Accent 3"/>
    <w:basedOn w:val="Tablanormal"/>
    <w:uiPriority w:val="61"/>
    <w:rsid w:val="00C90843"/>
    <w:pPr>
      <w:spacing w:after="200" w:line="288" w:lineRule="auto"/>
    </w:pPr>
    <w:rPr>
      <w:sz w:val="21"/>
      <w:szCs w:val="21"/>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paragraph" w:customStyle="1" w:styleId="FMCNTabla">
    <w:name w:val="FMCN Tabla"/>
    <w:basedOn w:val="Normal"/>
    <w:link w:val="FMCNTablaCar"/>
    <w:rsid w:val="00C90843"/>
    <w:pPr>
      <w:spacing w:before="120" w:after="120" w:line="288" w:lineRule="auto"/>
      <w:jc w:val="both"/>
    </w:pPr>
    <w:rPr>
      <w:rFonts w:asciiTheme="majorHAnsi" w:eastAsia="Times New Roman" w:hAnsiTheme="majorHAnsi" w:cs="Arial"/>
      <w:color w:val="000000"/>
      <w:sz w:val="20"/>
      <w:szCs w:val="20"/>
      <w:lang w:val="es-ES"/>
    </w:rPr>
  </w:style>
  <w:style w:type="character" w:customStyle="1" w:styleId="FMCNTablaCar">
    <w:name w:val="FMCN Tabla Car"/>
    <w:basedOn w:val="Fuentedeprrafopredeter"/>
    <w:link w:val="FMCNTabla"/>
    <w:rsid w:val="00C90843"/>
    <w:rPr>
      <w:rFonts w:asciiTheme="majorHAnsi" w:eastAsia="Times New Roman" w:hAnsiTheme="majorHAnsi" w:cs="Arial"/>
      <w:color w:val="000000"/>
      <w:sz w:val="20"/>
      <w:szCs w:val="20"/>
      <w:lang w:val="es-ES" w:eastAsia="es-ES"/>
    </w:rPr>
  </w:style>
  <w:style w:type="paragraph" w:customStyle="1" w:styleId="SubndiceFANP">
    <w:name w:val="Subíndice FANP"/>
    <w:basedOn w:val="Normal"/>
    <w:link w:val="SubndiceFANPCar"/>
    <w:autoRedefine/>
    <w:rsid w:val="00C90843"/>
    <w:pPr>
      <w:spacing w:before="120" w:after="120" w:line="288" w:lineRule="auto"/>
      <w:ind w:right="-79"/>
      <w:outlineLvl w:val="1"/>
    </w:pPr>
    <w:rPr>
      <w:rFonts w:eastAsia="Times New Roman" w:cs="Arial"/>
      <w:b/>
      <w:lang w:val="es-ES"/>
    </w:rPr>
  </w:style>
  <w:style w:type="character" w:customStyle="1" w:styleId="TextoCar">
    <w:name w:val="Texto Car"/>
    <w:link w:val="Texto"/>
    <w:locked/>
    <w:rsid w:val="00C90843"/>
    <w:rPr>
      <w:rFonts w:ascii="Arial" w:eastAsia="Times New Roman" w:hAnsi="Arial" w:cs="Arial"/>
      <w:sz w:val="18"/>
      <w:szCs w:val="18"/>
      <w:lang w:val="es-ES" w:eastAsia="es-ES"/>
    </w:rPr>
  </w:style>
  <w:style w:type="paragraph" w:customStyle="1" w:styleId="SubttuloFANP">
    <w:name w:val="Subtítulo FANP"/>
    <w:basedOn w:val="Normal"/>
    <w:autoRedefine/>
    <w:rsid w:val="00C90843"/>
    <w:pPr>
      <w:spacing w:after="200" w:line="288" w:lineRule="auto"/>
      <w:jc w:val="both"/>
      <w:outlineLvl w:val="0"/>
    </w:pPr>
    <w:rPr>
      <w:rFonts w:ascii="Arial" w:eastAsia="Times New Roman" w:hAnsi="Arial" w:cs="Arial"/>
      <w:b/>
      <w:color w:val="000000"/>
      <w:lang w:val="es-ES"/>
    </w:rPr>
  </w:style>
  <w:style w:type="character" w:customStyle="1" w:styleId="SubndiceFANPCar">
    <w:name w:val="Subíndice FANP Car"/>
    <w:basedOn w:val="Fuentedeprrafopredeter"/>
    <w:link w:val="SubndiceFANP"/>
    <w:rsid w:val="00C90843"/>
    <w:rPr>
      <w:rFonts w:eastAsia="Times New Roman" w:cs="Arial"/>
      <w:b/>
      <w:sz w:val="24"/>
      <w:szCs w:val="24"/>
      <w:lang w:val="es-ES" w:eastAsia="es-ES"/>
    </w:rPr>
  </w:style>
  <w:style w:type="paragraph" w:styleId="Subttulo">
    <w:name w:val="Subtitle"/>
    <w:basedOn w:val="Normal"/>
    <w:next w:val="Normal"/>
    <w:link w:val="SubttuloCar"/>
    <w:uiPriority w:val="11"/>
    <w:qFormat/>
    <w:rsid w:val="00C90843"/>
    <w:pPr>
      <w:numPr>
        <w:ilvl w:val="1"/>
      </w:numPr>
      <w:spacing w:after="200"/>
    </w:pPr>
    <w:rPr>
      <w:rFonts w:asciiTheme="majorHAnsi" w:eastAsiaTheme="majorEastAsia" w:hAnsiTheme="majorHAnsi" w:cstheme="majorBidi"/>
      <w:sz w:val="30"/>
      <w:szCs w:val="30"/>
      <w:lang w:eastAsia="es-MX"/>
    </w:rPr>
  </w:style>
  <w:style w:type="character" w:customStyle="1" w:styleId="SubttuloCar">
    <w:name w:val="Subtítulo Car"/>
    <w:basedOn w:val="Fuentedeprrafopredeter"/>
    <w:link w:val="Subttulo"/>
    <w:uiPriority w:val="11"/>
    <w:rsid w:val="00C90843"/>
    <w:rPr>
      <w:rFonts w:asciiTheme="majorHAnsi" w:eastAsiaTheme="majorEastAsia" w:hAnsiTheme="majorHAnsi" w:cstheme="majorBidi"/>
      <w:sz w:val="30"/>
      <w:szCs w:val="30"/>
      <w:lang w:eastAsia="es-MX"/>
    </w:rPr>
  </w:style>
  <w:style w:type="character" w:customStyle="1" w:styleId="xapple-converted-space">
    <w:name w:val="x_apple-converted-space"/>
    <w:basedOn w:val="Fuentedeprrafopredeter"/>
    <w:rsid w:val="00C90843"/>
  </w:style>
  <w:style w:type="table" w:customStyle="1" w:styleId="Listaclara-nfasis31">
    <w:name w:val="Lista clara - Énfasis 31"/>
    <w:basedOn w:val="Tablanormal"/>
    <w:next w:val="Listaclara-nfasis3"/>
    <w:uiPriority w:val="61"/>
    <w:rsid w:val="00C90843"/>
    <w:pPr>
      <w:spacing w:after="200" w:line="288" w:lineRule="auto"/>
    </w:pPr>
    <w:rPr>
      <w:rFonts w:eastAsia="Calibri"/>
      <w:sz w:val="21"/>
      <w:szCs w:val="21"/>
    </w:rPr>
    <w:tblPr>
      <w:tblStyleRowBandSize w:val="1"/>
      <w:tblStyleColBandSize w:val="1"/>
      <w:tblBorders>
        <w:top w:val="single" w:sz="8" w:space="0" w:color="9BBB59"/>
        <w:left w:val="single" w:sz="8" w:space="0" w:color="9BBB59"/>
        <w:bottom w:val="single" w:sz="8" w:space="0" w:color="9BBB59"/>
        <w:right w:val="single" w:sz="8" w:space="0" w:color="9BBB59"/>
      </w:tblBorders>
    </w:tblPr>
    <w:tblStylePr w:type="firstRow">
      <w:pPr>
        <w:spacing w:before="0" w:after="0" w:line="240" w:lineRule="auto"/>
      </w:pPr>
      <w:rPr>
        <w:b/>
        <w:bCs/>
        <w:color w:val="FFFFFF"/>
      </w:rPr>
      <w:tblPr/>
      <w:tcPr>
        <w:shd w:val="clear" w:color="auto" w:fill="9BBB59"/>
      </w:tcPr>
    </w:tblStylePr>
    <w:tblStylePr w:type="lastRow">
      <w:pPr>
        <w:spacing w:before="0" w:after="0" w:line="240" w:lineRule="auto"/>
      </w:pPr>
      <w:rPr>
        <w:b/>
        <w:bCs/>
      </w:rPr>
      <w:tblPr/>
      <w:tcPr>
        <w:tcBorders>
          <w:top w:val="double" w:sz="6" w:space="0" w:color="9BBB59"/>
          <w:left w:val="single" w:sz="8" w:space="0" w:color="9BBB59"/>
          <w:bottom w:val="single" w:sz="8" w:space="0" w:color="9BBB59"/>
          <w:right w:val="single" w:sz="8" w:space="0" w:color="9BBB59"/>
        </w:tcBorders>
      </w:tcPr>
    </w:tblStylePr>
    <w:tblStylePr w:type="firstCol">
      <w:rPr>
        <w:b/>
        <w:bCs/>
      </w:rPr>
    </w:tblStylePr>
    <w:tblStylePr w:type="lastCol">
      <w:rPr>
        <w:b/>
        <w:bCs/>
      </w:rPr>
    </w:tblStylePr>
    <w:tblStylePr w:type="band1Vert">
      <w:tblPr/>
      <w:tcPr>
        <w:tcBorders>
          <w:top w:val="single" w:sz="8" w:space="0" w:color="9BBB59"/>
          <w:left w:val="single" w:sz="8" w:space="0" w:color="9BBB59"/>
          <w:bottom w:val="single" w:sz="8" w:space="0" w:color="9BBB59"/>
          <w:right w:val="single" w:sz="8" w:space="0" w:color="9BBB59"/>
        </w:tcBorders>
      </w:tcPr>
    </w:tblStylePr>
    <w:tblStylePr w:type="band1Horz">
      <w:tblPr/>
      <w:tcPr>
        <w:tcBorders>
          <w:top w:val="single" w:sz="8" w:space="0" w:color="9BBB59"/>
          <w:left w:val="single" w:sz="8" w:space="0" w:color="9BBB59"/>
          <w:bottom w:val="single" w:sz="8" w:space="0" w:color="9BBB59"/>
          <w:right w:val="single" w:sz="8" w:space="0" w:color="9BBB59"/>
        </w:tcBorders>
      </w:tcPr>
    </w:tblStylePr>
  </w:style>
  <w:style w:type="paragraph" w:customStyle="1" w:styleId="Pa3">
    <w:name w:val="Pa3"/>
    <w:basedOn w:val="Normal"/>
    <w:next w:val="Normal"/>
    <w:uiPriority w:val="99"/>
    <w:rsid w:val="00C90843"/>
    <w:pPr>
      <w:autoSpaceDE w:val="0"/>
      <w:autoSpaceDN w:val="0"/>
      <w:adjustRightInd w:val="0"/>
      <w:spacing w:after="200" w:line="191" w:lineRule="atLeast"/>
    </w:pPr>
    <w:rPr>
      <w:rFonts w:ascii="Georgia" w:eastAsiaTheme="minorHAnsi" w:hAnsi="Georgia"/>
      <w:lang w:eastAsia="en-US"/>
    </w:rPr>
  </w:style>
  <w:style w:type="character" w:customStyle="1" w:styleId="Mencionar1">
    <w:name w:val="Mencionar1"/>
    <w:basedOn w:val="Fuentedeprrafopredeter"/>
    <w:uiPriority w:val="99"/>
    <w:semiHidden/>
    <w:unhideWhenUsed/>
    <w:rsid w:val="00C90843"/>
    <w:rPr>
      <w:color w:val="2B579A"/>
      <w:shd w:val="clear" w:color="auto" w:fill="E6E6E6"/>
    </w:rPr>
  </w:style>
  <w:style w:type="character" w:styleId="nfasis">
    <w:name w:val="Emphasis"/>
    <w:basedOn w:val="Fuentedeprrafopredeter"/>
    <w:uiPriority w:val="20"/>
    <w:qFormat/>
    <w:rsid w:val="00C90843"/>
    <w:rPr>
      <w:i/>
      <w:iCs/>
      <w:color w:val="70AD47" w:themeColor="accent6"/>
    </w:rPr>
  </w:style>
  <w:style w:type="character" w:customStyle="1" w:styleId="A12">
    <w:name w:val="A12"/>
    <w:uiPriority w:val="99"/>
    <w:rsid w:val="00C90843"/>
    <w:rPr>
      <w:rFonts w:ascii="Frutiger LT Std 45 Light" w:hAnsi="Frutiger LT Std 45 Light" w:cs="Frutiger LT Std 45 Light" w:hint="default"/>
      <w:color w:val="000000"/>
      <w:sz w:val="17"/>
      <w:szCs w:val="17"/>
    </w:rPr>
  </w:style>
  <w:style w:type="table" w:styleId="Sombreadoclaro-nfasis1">
    <w:name w:val="Light Shading Accent 1"/>
    <w:basedOn w:val="Tablanormal"/>
    <w:uiPriority w:val="60"/>
    <w:rsid w:val="00C90843"/>
    <w:pPr>
      <w:spacing w:after="200" w:line="288" w:lineRule="auto"/>
    </w:pPr>
    <w:rPr>
      <w:color w:val="2F5496" w:themeColor="accent1" w:themeShade="BF"/>
      <w:sz w:val="21"/>
      <w:szCs w:val="21"/>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customStyle="1" w:styleId="Tablaconcuadrcula1">
    <w:name w:val="Tabla con cuadrícula1"/>
    <w:basedOn w:val="Tablanormal"/>
    <w:next w:val="Tablaconcuadrcula"/>
    <w:uiPriority w:val="59"/>
    <w:rsid w:val="00C90843"/>
    <w:pPr>
      <w:spacing w:after="200" w:line="288" w:lineRule="auto"/>
    </w:pPr>
    <w:rPr>
      <w:rFonts w:eastAsia="MS Mincho"/>
      <w:sz w:val="24"/>
      <w:szCs w:val="24"/>
      <w:lang w:val="es-ES_tradnl" w:eastAsia="es-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uerpoA">
    <w:name w:val="Cuerpo A"/>
    <w:rsid w:val="00C90843"/>
    <w:pPr>
      <w:pBdr>
        <w:top w:val="nil"/>
        <w:left w:val="nil"/>
        <w:bottom w:val="nil"/>
        <w:right w:val="nil"/>
        <w:between w:val="nil"/>
        <w:bar w:val="nil"/>
      </w:pBdr>
      <w:spacing w:after="200" w:line="288" w:lineRule="auto"/>
    </w:pPr>
    <w:rPr>
      <w:rFonts w:ascii="Cambria" w:eastAsia="Cambria" w:hAnsi="Cambria" w:cs="Cambria"/>
      <w:color w:val="000000"/>
      <w:sz w:val="24"/>
      <w:szCs w:val="24"/>
      <w:u w:color="000000"/>
      <w:bdr w:val="nil"/>
      <w:lang w:val="es-ES_tradnl" w:eastAsia="es-ES"/>
    </w:rPr>
  </w:style>
  <w:style w:type="numbering" w:customStyle="1" w:styleId="Lista21">
    <w:name w:val="Lista 21"/>
    <w:basedOn w:val="Sinlista"/>
    <w:rsid w:val="00C90843"/>
    <w:pPr>
      <w:numPr>
        <w:numId w:val="2"/>
      </w:numPr>
    </w:pPr>
  </w:style>
  <w:style w:type="paragraph" w:styleId="Ttulo">
    <w:name w:val="Title"/>
    <w:basedOn w:val="Normal"/>
    <w:next w:val="Normal"/>
    <w:link w:val="TtuloCar"/>
    <w:uiPriority w:val="10"/>
    <w:qFormat/>
    <w:rsid w:val="00C90843"/>
    <w:pPr>
      <w:contextualSpacing/>
    </w:pPr>
    <w:rPr>
      <w:rFonts w:asciiTheme="majorHAnsi" w:eastAsiaTheme="majorEastAsia" w:hAnsiTheme="majorHAnsi" w:cstheme="majorBidi"/>
      <w:color w:val="262626" w:themeColor="text1" w:themeTint="D9"/>
      <w:spacing w:val="-15"/>
      <w:sz w:val="96"/>
      <w:szCs w:val="96"/>
      <w:lang w:eastAsia="es-MX"/>
    </w:rPr>
  </w:style>
  <w:style w:type="character" w:customStyle="1" w:styleId="TtuloCar">
    <w:name w:val="Título Car"/>
    <w:basedOn w:val="Fuentedeprrafopredeter"/>
    <w:link w:val="Ttulo"/>
    <w:uiPriority w:val="10"/>
    <w:rsid w:val="00C90843"/>
    <w:rPr>
      <w:rFonts w:asciiTheme="majorHAnsi" w:eastAsiaTheme="majorEastAsia" w:hAnsiTheme="majorHAnsi" w:cstheme="majorBidi"/>
      <w:color w:val="262626" w:themeColor="text1" w:themeTint="D9"/>
      <w:spacing w:val="-15"/>
      <w:sz w:val="96"/>
      <w:szCs w:val="96"/>
      <w:lang w:eastAsia="es-MX"/>
    </w:rPr>
  </w:style>
  <w:style w:type="paragraph" w:customStyle="1" w:styleId="Listavistosa-nfasis12">
    <w:name w:val="Lista vistosa - Énfasis 12"/>
    <w:basedOn w:val="Normal"/>
    <w:link w:val="Listavistosa-nfasis1Car1"/>
    <w:uiPriority w:val="34"/>
    <w:rsid w:val="00C90843"/>
    <w:pPr>
      <w:suppressAutoHyphens/>
      <w:spacing w:after="200" w:line="288" w:lineRule="auto"/>
      <w:ind w:left="708"/>
      <w:jc w:val="both"/>
    </w:pPr>
    <w:rPr>
      <w:rFonts w:eastAsia="Times New Roman"/>
      <w:snapToGrid w:val="0"/>
      <w:sz w:val="21"/>
      <w:szCs w:val="21"/>
      <w:lang w:val="es-ES" w:eastAsia="en-US"/>
    </w:rPr>
  </w:style>
  <w:style w:type="character" w:customStyle="1" w:styleId="Listavistosa-nfasis1Car1">
    <w:name w:val="Lista vistosa - Énfasis 1 Car1"/>
    <w:link w:val="Listavistosa-nfasis12"/>
    <w:uiPriority w:val="34"/>
    <w:rsid w:val="00C90843"/>
    <w:rPr>
      <w:rFonts w:eastAsia="Times New Roman"/>
      <w:snapToGrid w:val="0"/>
      <w:sz w:val="21"/>
      <w:szCs w:val="21"/>
      <w:lang w:val="es-ES"/>
    </w:rPr>
  </w:style>
  <w:style w:type="paragraph" w:styleId="Mapadeldocumento">
    <w:name w:val="Document Map"/>
    <w:basedOn w:val="Normal"/>
    <w:link w:val="MapadeldocumentoCar"/>
    <w:uiPriority w:val="99"/>
    <w:semiHidden/>
    <w:unhideWhenUsed/>
    <w:rsid w:val="00C90843"/>
    <w:pPr>
      <w:spacing w:after="200" w:line="288" w:lineRule="auto"/>
    </w:pPr>
    <w:rPr>
      <w:lang w:eastAsia="es-MX"/>
    </w:rPr>
  </w:style>
  <w:style w:type="character" w:customStyle="1" w:styleId="MapadeldocumentoCar">
    <w:name w:val="Mapa del documento Car"/>
    <w:basedOn w:val="Fuentedeprrafopredeter"/>
    <w:link w:val="Mapadeldocumento"/>
    <w:uiPriority w:val="99"/>
    <w:semiHidden/>
    <w:rsid w:val="00C90843"/>
    <w:rPr>
      <w:rFonts w:eastAsiaTheme="minorEastAsia"/>
      <w:sz w:val="24"/>
      <w:szCs w:val="24"/>
      <w:lang w:eastAsia="es-MX"/>
    </w:rPr>
  </w:style>
  <w:style w:type="numbering" w:customStyle="1" w:styleId="Sinlista1">
    <w:name w:val="Sin lista1"/>
    <w:next w:val="Sinlista"/>
    <w:uiPriority w:val="99"/>
    <w:semiHidden/>
    <w:unhideWhenUsed/>
    <w:rsid w:val="00C90843"/>
  </w:style>
  <w:style w:type="table" w:customStyle="1" w:styleId="TablaCFE1">
    <w:name w:val="Tabla CFE1"/>
    <w:basedOn w:val="Tablanormal"/>
    <w:next w:val="Tablaconcuadrcula"/>
    <w:uiPriority w:val="39"/>
    <w:rsid w:val="00C90843"/>
    <w:pPr>
      <w:spacing w:after="200" w:line="288" w:lineRule="auto"/>
    </w:pPr>
    <w:rPr>
      <w:rFonts w:ascii="Calibri" w:eastAsia="Calibri" w:hAnsi="Calibri"/>
      <w:sz w:val="21"/>
      <w:szCs w:val="21"/>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visitado">
    <w:name w:val="FollowedHyperlink"/>
    <w:basedOn w:val="Fuentedeprrafopredeter"/>
    <w:uiPriority w:val="99"/>
    <w:semiHidden/>
    <w:unhideWhenUsed/>
    <w:rsid w:val="00C90843"/>
    <w:rPr>
      <w:color w:val="954F72" w:themeColor="followedHyperlink"/>
      <w:u w:val="single"/>
    </w:rPr>
  </w:style>
  <w:style w:type="character" w:customStyle="1" w:styleId="Mencinsinresolver1">
    <w:name w:val="Mención sin resolver1"/>
    <w:basedOn w:val="Fuentedeprrafopredeter"/>
    <w:uiPriority w:val="99"/>
    <w:semiHidden/>
    <w:unhideWhenUsed/>
    <w:rsid w:val="00C90843"/>
    <w:rPr>
      <w:color w:val="605E5C"/>
      <w:shd w:val="clear" w:color="auto" w:fill="E1DFDD"/>
    </w:rPr>
  </w:style>
  <w:style w:type="paragraph" w:styleId="Descripcin">
    <w:name w:val="caption"/>
    <w:basedOn w:val="Normal"/>
    <w:next w:val="Normal"/>
    <w:uiPriority w:val="35"/>
    <w:semiHidden/>
    <w:unhideWhenUsed/>
    <w:qFormat/>
    <w:rsid w:val="00C90843"/>
    <w:pPr>
      <w:spacing w:after="200"/>
    </w:pPr>
    <w:rPr>
      <w:b/>
      <w:bCs/>
      <w:smallCaps/>
      <w:color w:val="595959" w:themeColor="text1" w:themeTint="A6"/>
      <w:sz w:val="21"/>
      <w:szCs w:val="21"/>
      <w:lang w:eastAsia="es-MX"/>
    </w:rPr>
  </w:style>
  <w:style w:type="character" w:styleId="Textoennegrita">
    <w:name w:val="Strong"/>
    <w:basedOn w:val="Fuentedeprrafopredeter"/>
    <w:uiPriority w:val="22"/>
    <w:qFormat/>
    <w:rsid w:val="00C90843"/>
    <w:rPr>
      <w:b/>
      <w:bCs/>
    </w:rPr>
  </w:style>
  <w:style w:type="paragraph" w:styleId="Sinespaciado">
    <w:name w:val="No Spacing"/>
    <w:uiPriority w:val="1"/>
    <w:qFormat/>
    <w:rsid w:val="00C90843"/>
    <w:pPr>
      <w:spacing w:after="0" w:line="240" w:lineRule="auto"/>
    </w:pPr>
    <w:rPr>
      <w:rFonts w:eastAsiaTheme="minorEastAsia"/>
      <w:sz w:val="21"/>
      <w:szCs w:val="21"/>
      <w:lang w:eastAsia="es-MX"/>
    </w:rPr>
  </w:style>
  <w:style w:type="paragraph" w:styleId="Cita">
    <w:name w:val="Quote"/>
    <w:basedOn w:val="Normal"/>
    <w:next w:val="Normal"/>
    <w:link w:val="CitaCar"/>
    <w:uiPriority w:val="29"/>
    <w:qFormat/>
    <w:rsid w:val="00C90843"/>
    <w:pPr>
      <w:spacing w:before="160" w:after="200" w:line="288" w:lineRule="auto"/>
      <w:ind w:left="720" w:right="720"/>
      <w:jc w:val="center"/>
    </w:pPr>
    <w:rPr>
      <w:i/>
      <w:iCs/>
      <w:color w:val="262626" w:themeColor="text1" w:themeTint="D9"/>
      <w:sz w:val="21"/>
      <w:szCs w:val="21"/>
      <w:lang w:eastAsia="es-MX"/>
    </w:rPr>
  </w:style>
  <w:style w:type="character" w:customStyle="1" w:styleId="CitaCar">
    <w:name w:val="Cita Car"/>
    <w:basedOn w:val="Fuentedeprrafopredeter"/>
    <w:link w:val="Cita"/>
    <w:uiPriority w:val="29"/>
    <w:rsid w:val="00C90843"/>
    <w:rPr>
      <w:rFonts w:eastAsiaTheme="minorEastAsia"/>
      <w:i/>
      <w:iCs/>
      <w:color w:val="262626" w:themeColor="text1" w:themeTint="D9"/>
      <w:sz w:val="21"/>
      <w:szCs w:val="21"/>
      <w:lang w:eastAsia="es-MX"/>
    </w:rPr>
  </w:style>
  <w:style w:type="paragraph" w:styleId="Citadestacada">
    <w:name w:val="Intense Quote"/>
    <w:basedOn w:val="Normal"/>
    <w:next w:val="Normal"/>
    <w:link w:val="CitadestacadaCar"/>
    <w:uiPriority w:val="30"/>
    <w:qFormat/>
    <w:rsid w:val="00C90843"/>
    <w:pPr>
      <w:spacing w:before="160" w:after="160" w:line="264" w:lineRule="auto"/>
      <w:ind w:left="720" w:right="720"/>
      <w:jc w:val="center"/>
    </w:pPr>
    <w:rPr>
      <w:rFonts w:asciiTheme="majorHAnsi" w:eastAsiaTheme="majorEastAsia" w:hAnsiTheme="majorHAnsi" w:cstheme="majorBidi"/>
      <w:i/>
      <w:iCs/>
      <w:color w:val="70AD47" w:themeColor="accent6"/>
      <w:sz w:val="32"/>
      <w:szCs w:val="32"/>
      <w:lang w:eastAsia="es-MX"/>
    </w:rPr>
  </w:style>
  <w:style w:type="character" w:customStyle="1" w:styleId="CitadestacadaCar">
    <w:name w:val="Cita destacada Car"/>
    <w:basedOn w:val="Fuentedeprrafopredeter"/>
    <w:link w:val="Citadestacada"/>
    <w:uiPriority w:val="30"/>
    <w:rsid w:val="00C90843"/>
    <w:rPr>
      <w:rFonts w:asciiTheme="majorHAnsi" w:eastAsiaTheme="majorEastAsia" w:hAnsiTheme="majorHAnsi" w:cstheme="majorBidi"/>
      <w:i/>
      <w:iCs/>
      <w:color w:val="70AD47" w:themeColor="accent6"/>
      <w:sz w:val="32"/>
      <w:szCs w:val="32"/>
      <w:lang w:eastAsia="es-MX"/>
    </w:rPr>
  </w:style>
  <w:style w:type="character" w:styleId="nfasissutil">
    <w:name w:val="Subtle Emphasis"/>
    <w:basedOn w:val="Fuentedeprrafopredeter"/>
    <w:uiPriority w:val="19"/>
    <w:qFormat/>
    <w:rsid w:val="00C90843"/>
    <w:rPr>
      <w:i/>
      <w:iCs/>
    </w:rPr>
  </w:style>
  <w:style w:type="character" w:styleId="nfasisintenso">
    <w:name w:val="Intense Emphasis"/>
    <w:basedOn w:val="Fuentedeprrafopredeter"/>
    <w:uiPriority w:val="21"/>
    <w:qFormat/>
    <w:rsid w:val="00C90843"/>
    <w:rPr>
      <w:b/>
      <w:bCs/>
      <w:i/>
      <w:iCs/>
    </w:rPr>
  </w:style>
  <w:style w:type="character" w:styleId="Referenciasutil">
    <w:name w:val="Subtle Reference"/>
    <w:basedOn w:val="Fuentedeprrafopredeter"/>
    <w:uiPriority w:val="31"/>
    <w:qFormat/>
    <w:rsid w:val="00C90843"/>
    <w:rPr>
      <w:smallCaps/>
      <w:color w:val="595959" w:themeColor="text1" w:themeTint="A6"/>
    </w:rPr>
  </w:style>
  <w:style w:type="character" w:styleId="Referenciaintensa">
    <w:name w:val="Intense Reference"/>
    <w:basedOn w:val="Fuentedeprrafopredeter"/>
    <w:uiPriority w:val="32"/>
    <w:qFormat/>
    <w:rsid w:val="00C90843"/>
    <w:rPr>
      <w:b/>
      <w:bCs/>
      <w:smallCaps/>
      <w:color w:val="70AD47" w:themeColor="accent6"/>
    </w:rPr>
  </w:style>
  <w:style w:type="character" w:styleId="Ttulodellibro">
    <w:name w:val="Book Title"/>
    <w:basedOn w:val="Fuentedeprrafopredeter"/>
    <w:uiPriority w:val="33"/>
    <w:qFormat/>
    <w:rsid w:val="00C90843"/>
    <w:rPr>
      <w:b/>
      <w:bCs/>
      <w:caps w:val="0"/>
      <w:smallCaps/>
      <w:spacing w:val="7"/>
      <w:sz w:val="21"/>
      <w:szCs w:val="21"/>
    </w:rPr>
  </w:style>
  <w:style w:type="paragraph" w:styleId="Sangradetextonormal">
    <w:name w:val="Body Text Indent"/>
    <w:basedOn w:val="Normal"/>
    <w:link w:val="SangradetextonormalCar"/>
    <w:uiPriority w:val="99"/>
    <w:semiHidden/>
    <w:unhideWhenUsed/>
    <w:rsid w:val="00C90843"/>
    <w:pPr>
      <w:spacing w:after="120" w:line="288" w:lineRule="auto"/>
      <w:ind w:left="283"/>
    </w:pPr>
    <w:rPr>
      <w:sz w:val="21"/>
      <w:szCs w:val="21"/>
      <w:lang w:eastAsia="es-MX"/>
    </w:rPr>
  </w:style>
  <w:style w:type="character" w:customStyle="1" w:styleId="SangradetextonormalCar">
    <w:name w:val="Sangría de texto normal Car"/>
    <w:basedOn w:val="Fuentedeprrafopredeter"/>
    <w:link w:val="Sangradetextonormal"/>
    <w:uiPriority w:val="99"/>
    <w:semiHidden/>
    <w:rsid w:val="00C90843"/>
    <w:rPr>
      <w:rFonts w:eastAsiaTheme="minorEastAsia"/>
      <w:sz w:val="21"/>
      <w:szCs w:val="21"/>
      <w:lang w:eastAsia="es-MX"/>
    </w:rPr>
  </w:style>
  <w:style w:type="character" w:customStyle="1" w:styleId="Mencinsinresolver2">
    <w:name w:val="Mención sin resolver2"/>
    <w:basedOn w:val="Fuentedeprrafopredeter"/>
    <w:uiPriority w:val="99"/>
    <w:semiHidden/>
    <w:unhideWhenUsed/>
    <w:rsid w:val="00C90843"/>
    <w:rPr>
      <w:color w:val="605E5C"/>
      <w:shd w:val="clear" w:color="auto" w:fill="E1DFDD"/>
    </w:rPr>
  </w:style>
  <w:style w:type="table" w:customStyle="1" w:styleId="NormalTable0">
    <w:name w:val="Normal Table0"/>
    <w:uiPriority w:val="2"/>
    <w:semiHidden/>
    <w:unhideWhenUsed/>
    <w:qFormat/>
    <w:rsid w:val="00C90843"/>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TextfrKfW">
    <w:name w:val="Text für KfW"/>
    <w:basedOn w:val="Normal"/>
    <w:rsid w:val="00C90843"/>
    <w:pPr>
      <w:tabs>
        <w:tab w:val="left" w:pos="851"/>
        <w:tab w:val="left" w:pos="1418"/>
        <w:tab w:val="left" w:pos="2127"/>
      </w:tabs>
      <w:spacing w:after="240" w:line="360" w:lineRule="atLeast"/>
    </w:pPr>
    <w:rPr>
      <w:rFonts w:ascii="Arial" w:eastAsia="Times New Roman" w:hAnsi="Arial" w:cs="Times New Roman"/>
      <w:sz w:val="22"/>
      <w:szCs w:val="20"/>
      <w:lang w:val="de-DE" w:eastAsia="de-DE"/>
    </w:rPr>
  </w:style>
  <w:style w:type="table" w:customStyle="1" w:styleId="Tablanormal21">
    <w:name w:val="Tabla normal 21"/>
    <w:basedOn w:val="Tablanormal"/>
    <w:next w:val="Tablanormal2"/>
    <w:uiPriority w:val="42"/>
    <w:rsid w:val="00C90843"/>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Tablanormal2">
    <w:name w:val="Plain Table 2"/>
    <w:basedOn w:val="Tablanormal"/>
    <w:uiPriority w:val="42"/>
    <w:rsid w:val="00C90843"/>
    <w:pPr>
      <w:spacing w:after="0" w:line="240" w:lineRule="auto"/>
    </w:pPr>
    <w:rPr>
      <w:rFonts w:eastAsiaTheme="minorEastAsia"/>
      <w:sz w:val="24"/>
      <w:szCs w:val="24"/>
      <w:lang w:eastAsia="es-ES"/>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styleId="Textonotaalfinal">
    <w:name w:val="endnote text"/>
    <w:basedOn w:val="Normal"/>
    <w:link w:val="TextonotaalfinalCar"/>
    <w:uiPriority w:val="99"/>
    <w:semiHidden/>
    <w:unhideWhenUsed/>
    <w:rsid w:val="00C90843"/>
    <w:rPr>
      <w:sz w:val="20"/>
      <w:szCs w:val="20"/>
    </w:rPr>
  </w:style>
  <w:style w:type="character" w:customStyle="1" w:styleId="TextonotaalfinalCar">
    <w:name w:val="Texto nota al final Car"/>
    <w:basedOn w:val="Fuentedeprrafopredeter"/>
    <w:link w:val="Textonotaalfinal"/>
    <w:uiPriority w:val="99"/>
    <w:semiHidden/>
    <w:rsid w:val="00C90843"/>
    <w:rPr>
      <w:rFonts w:eastAsiaTheme="minorEastAsia"/>
      <w:sz w:val="20"/>
      <w:szCs w:val="20"/>
      <w:lang w:eastAsia="es-ES"/>
    </w:rPr>
  </w:style>
  <w:style w:type="character" w:styleId="Refdenotaalfinal">
    <w:name w:val="endnote reference"/>
    <w:basedOn w:val="Fuentedeprrafopredeter"/>
    <w:uiPriority w:val="99"/>
    <w:semiHidden/>
    <w:unhideWhenUsed/>
    <w:rsid w:val="00C90843"/>
    <w:rPr>
      <w:vertAlign w:val="superscript"/>
    </w:rPr>
  </w:style>
  <w:style w:type="paragraph" w:customStyle="1" w:styleId="TableParagraph">
    <w:name w:val="Table Paragraph"/>
    <w:basedOn w:val="Normal"/>
    <w:uiPriority w:val="1"/>
    <w:qFormat/>
    <w:rsid w:val="00C90843"/>
    <w:pPr>
      <w:widowControl w:val="0"/>
      <w:autoSpaceDE w:val="0"/>
      <w:autoSpaceDN w:val="0"/>
      <w:adjustRightInd w:val="0"/>
    </w:pPr>
    <w:rPr>
      <w:rFonts w:ascii="Lato" w:hAnsi="Lato" w:cs="Lato"/>
      <w:lang w:eastAsia="es-MX"/>
    </w:rPr>
  </w:style>
  <w:style w:type="character" w:customStyle="1" w:styleId="Mencinsinresolver3">
    <w:name w:val="Mención sin resolver3"/>
    <w:basedOn w:val="Fuentedeprrafopredeter"/>
    <w:uiPriority w:val="99"/>
    <w:semiHidden/>
    <w:unhideWhenUsed/>
    <w:rsid w:val="00C90843"/>
    <w:rPr>
      <w:color w:val="605E5C"/>
      <w:shd w:val="clear" w:color="auto" w:fill="E1DFDD"/>
    </w:rPr>
  </w:style>
  <w:style w:type="character" w:customStyle="1" w:styleId="apple-converted-space">
    <w:name w:val="apple-converted-space"/>
    <w:basedOn w:val="Fuentedeprrafopredeter"/>
    <w:rsid w:val="00C90843"/>
  </w:style>
  <w:style w:type="table" w:customStyle="1" w:styleId="TableNormal">
    <w:name w:val="Table Normal"/>
    <w:uiPriority w:val="2"/>
    <w:semiHidden/>
    <w:unhideWhenUsed/>
    <w:qFormat/>
    <w:rsid w:val="00C90843"/>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TableNormal1">
    <w:name w:val="Table Normal1"/>
    <w:uiPriority w:val="2"/>
    <w:semiHidden/>
    <w:unhideWhenUsed/>
    <w:qFormat/>
    <w:rsid w:val="00C90843"/>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customStyle="1" w:styleId="listenabsatz">
    <w:name w:val="listenabsatz"/>
    <w:basedOn w:val="Normal"/>
    <w:rsid w:val="00C90843"/>
    <w:pPr>
      <w:spacing w:after="26"/>
      <w:ind w:left="720" w:hanging="10"/>
      <w:jc w:val="both"/>
    </w:pPr>
    <w:rPr>
      <w:rFonts w:ascii="Corbel" w:eastAsiaTheme="minorHAnsi" w:hAnsi="Corbel" w:cs="Calibri"/>
      <w:color w:val="000000"/>
      <w:sz w:val="22"/>
      <w:szCs w:val="22"/>
      <w:lang w:val="de-DE" w:eastAsia="de-DE"/>
    </w:rPr>
  </w:style>
  <w:style w:type="character" w:styleId="Mencinsinresolver">
    <w:name w:val="Unresolved Mention"/>
    <w:basedOn w:val="Fuentedeprrafopredeter"/>
    <w:uiPriority w:val="99"/>
    <w:semiHidden/>
    <w:unhideWhenUsed/>
    <w:rsid w:val="00C9084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header" Target="header2.xml"/><Relationship Id="rId18" Type="http://schemas.openxmlformats.org/officeDocument/2006/relationships/hyperlink" Target="https://www.fmcn.org/es/proyectos/conecta" TargetMode="Externa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2.xml"/><Relationship Id="rId17" Type="http://schemas.openxmlformats.org/officeDocument/2006/relationships/image" Target="media/image6.png"/><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1.xml"/><Relationship Id="rId5" Type="http://schemas.openxmlformats.org/officeDocument/2006/relationships/footnotes" Target="footnotes.xml"/><Relationship Id="rId15" Type="http://schemas.openxmlformats.org/officeDocument/2006/relationships/footer" Target="footer4.xml"/><Relationship Id="rId10" Type="http://schemas.openxmlformats.org/officeDocument/2006/relationships/header" Target="header1.xml"/><Relationship Id="rId19"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footer" Target="footer3.xml"/></Relationships>
</file>

<file path=word/_rels/footnotes.xml.rels><?xml version="1.0" encoding="UTF-8" standalone="yes"?>
<Relationships xmlns="http://schemas.openxmlformats.org/package/2006/relationships"><Relationship Id="rId2" Type="http://schemas.openxmlformats.org/officeDocument/2006/relationships/hyperlink" Target="http://bioteca.biodiversidad.gob.mx/janium/Documentos/12890.pdf" TargetMode="External"/><Relationship Id="rId1" Type="http://schemas.openxmlformats.org/officeDocument/2006/relationships/hyperlink" Target="https://www.gob.mx/cms/uploads/attachment/file/60963/E-2040_completa.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tiff"/></Relationships>
</file>

<file path=word/_rels/header2.xml.rels><?xml version="1.0" encoding="UTF-8" standalone="yes"?>
<Relationships xmlns="http://schemas.openxmlformats.org/package/2006/relationships"><Relationship Id="rId1" Type="http://schemas.openxmlformats.org/officeDocument/2006/relationships/image" Target="media/image4.tif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TotalTime>
  <Pages>62</Pages>
  <Words>16973</Words>
  <Characters>93356</Characters>
  <Application>Microsoft Office Word</Application>
  <DocSecurity>0</DocSecurity>
  <Lines>777</Lines>
  <Paragraphs>220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110109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Mireya Méndez de la Torre</dc:creator>
  <cp:keywords/>
  <dc:description/>
  <cp:lastModifiedBy>Mireya Méndez de la Torre</cp:lastModifiedBy>
  <cp:revision>1</cp:revision>
  <dcterms:created xsi:type="dcterms:W3CDTF">2024-02-21T23:58:00Z</dcterms:created>
  <dcterms:modified xsi:type="dcterms:W3CDTF">2024-02-21T23:59:00Z</dcterms:modified>
</cp:coreProperties>
</file>