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ED36BD" w14:textId="2F455AF3" w:rsidR="005C6314" w:rsidRPr="00714269" w:rsidRDefault="00B17061" w:rsidP="00B71CD0">
      <w:pPr>
        <w:spacing w:line="276" w:lineRule="auto"/>
        <w:jc w:val="center"/>
        <w:rPr>
          <w:rFonts w:ascii="Lato" w:hAnsi="Lato"/>
          <w:bCs/>
          <w:color w:val="595959" w:themeColor="text1" w:themeTint="A6"/>
          <w:sz w:val="28"/>
          <w:szCs w:val="28"/>
          <w:lang w:val="es-ES"/>
        </w:rPr>
      </w:pPr>
      <w:bookmarkStart w:id="0" w:name="_GoBack"/>
      <w:bookmarkEnd w:id="0"/>
      <w:r>
        <w:rPr>
          <w:rFonts w:ascii="Lato" w:hAnsi="Lato"/>
          <w:bCs/>
          <w:color w:val="595959" w:themeColor="text1" w:themeTint="A6"/>
          <w:sz w:val="28"/>
          <w:szCs w:val="28"/>
          <w:lang w:val="es-ES"/>
        </w:rPr>
        <w:softHyphen/>
      </w:r>
      <w:r>
        <w:rPr>
          <w:rFonts w:ascii="Lato" w:hAnsi="Lato"/>
          <w:bCs/>
          <w:color w:val="595959" w:themeColor="text1" w:themeTint="A6"/>
          <w:sz w:val="28"/>
          <w:szCs w:val="28"/>
          <w:lang w:val="es-ES"/>
        </w:rPr>
        <w:softHyphen/>
      </w:r>
      <w:r w:rsidR="005C6314" w:rsidRPr="00714269">
        <w:rPr>
          <w:rFonts w:ascii="Lato" w:hAnsi="Lato"/>
          <w:bCs/>
          <w:color w:val="595959" w:themeColor="text1" w:themeTint="A6"/>
          <w:sz w:val="28"/>
          <w:szCs w:val="28"/>
          <w:lang w:val="es-ES"/>
        </w:rPr>
        <w:t xml:space="preserve">PROCEDIMIENTO PARA APERTURA Y CANCELACIÓN </w:t>
      </w:r>
    </w:p>
    <w:p w14:paraId="4F0E1801" w14:textId="35EFCF37" w:rsidR="00201AFF" w:rsidRPr="00714269" w:rsidRDefault="005C6314" w:rsidP="00B71CD0">
      <w:pPr>
        <w:spacing w:line="276" w:lineRule="auto"/>
        <w:jc w:val="center"/>
        <w:rPr>
          <w:rFonts w:ascii="Lato" w:hAnsi="Lato"/>
          <w:bCs/>
          <w:color w:val="595959" w:themeColor="text1" w:themeTint="A6"/>
          <w:sz w:val="28"/>
          <w:szCs w:val="28"/>
          <w:lang w:val="es-ES"/>
        </w:rPr>
      </w:pPr>
      <w:r w:rsidRPr="00714269">
        <w:rPr>
          <w:rFonts w:ascii="Lato" w:hAnsi="Lato"/>
          <w:bCs/>
          <w:color w:val="595959" w:themeColor="text1" w:themeTint="A6"/>
          <w:sz w:val="28"/>
          <w:szCs w:val="28"/>
          <w:lang w:val="es-ES"/>
        </w:rPr>
        <w:t>DE CUENTAS BANCARIAS</w:t>
      </w:r>
    </w:p>
    <w:p w14:paraId="25B7B2BB" w14:textId="135081D5" w:rsidR="00F626CC" w:rsidRPr="00714269" w:rsidRDefault="00F626CC" w:rsidP="00B71CD0">
      <w:pPr>
        <w:spacing w:line="276" w:lineRule="auto"/>
        <w:rPr>
          <w:rFonts w:ascii="Lato" w:hAnsi="Lato"/>
          <w:bCs/>
          <w:color w:val="595959" w:themeColor="text1" w:themeTint="A6"/>
          <w:sz w:val="28"/>
          <w:szCs w:val="28"/>
          <w:lang w:val="es-ES"/>
        </w:rPr>
      </w:pPr>
    </w:p>
    <w:p w14:paraId="35C466B9" w14:textId="77777777" w:rsidR="001008C3" w:rsidRPr="00714269" w:rsidRDefault="001008C3" w:rsidP="00B71CD0">
      <w:pPr>
        <w:spacing w:line="276" w:lineRule="auto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451BAB6E" w14:textId="3FC9EA0E" w:rsidR="00F626CC" w:rsidRPr="00714269" w:rsidRDefault="005C6314" w:rsidP="00B71CD0">
      <w:pPr>
        <w:spacing w:line="276" w:lineRule="auto"/>
        <w:rPr>
          <w:rFonts w:ascii="Lato" w:hAnsi="Lato"/>
          <w:b/>
          <w:color w:val="595959" w:themeColor="text1" w:themeTint="A6"/>
          <w:sz w:val="22"/>
          <w:szCs w:val="22"/>
          <w:lang w:val="es-ES"/>
        </w:rPr>
      </w:pPr>
      <w:r w:rsidRPr="00714269">
        <w:rPr>
          <w:rFonts w:ascii="Lato" w:hAnsi="Lato"/>
          <w:b/>
          <w:color w:val="595959" w:themeColor="text1" w:themeTint="A6"/>
          <w:sz w:val="22"/>
          <w:szCs w:val="22"/>
          <w:lang w:val="es-ES"/>
        </w:rPr>
        <w:t>1. OBJETIVO</w:t>
      </w:r>
    </w:p>
    <w:p w14:paraId="73B2DB88" w14:textId="6D451C7E" w:rsidR="00B73B38" w:rsidRPr="00714269" w:rsidRDefault="00B73B38" w:rsidP="00B71CD0">
      <w:pPr>
        <w:spacing w:line="276" w:lineRule="auto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0F6300F1" w14:textId="4550B301" w:rsidR="0059483D" w:rsidRPr="00714269" w:rsidRDefault="0059483D" w:rsidP="00B71CD0">
      <w:pPr>
        <w:spacing w:line="276" w:lineRule="auto"/>
        <w:rPr>
          <w:rFonts w:ascii="Lato" w:hAnsi="Lato"/>
          <w:color w:val="595959" w:themeColor="text1" w:themeTint="A6"/>
          <w:sz w:val="22"/>
          <w:szCs w:val="22"/>
          <w:lang w:val="es-ES"/>
        </w:rPr>
      </w:pP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Realizar la apertura </w:t>
      </w:r>
      <w:r w:rsidR="001008C3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y cancelación de cuenta</w:t>
      </w:r>
      <w:r w:rsidR="00863CBC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s</w:t>
      </w:r>
      <w:r w:rsidR="001008C3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bancaria</w:t>
      </w:r>
      <w:r w:rsidR="00863CBC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s</w:t>
      </w:r>
      <w:r w:rsidR="001008C3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con transparencia</w:t>
      </w:r>
      <w:r w:rsidR="00537C0B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.</w:t>
      </w: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</w:t>
      </w:r>
    </w:p>
    <w:p w14:paraId="6798FF0E" w14:textId="77777777" w:rsidR="0059483D" w:rsidRPr="00714269" w:rsidRDefault="0059483D" w:rsidP="00B71CD0">
      <w:pPr>
        <w:spacing w:line="276" w:lineRule="auto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3CACFBAC" w14:textId="77777777" w:rsidR="005C6314" w:rsidRPr="00714269" w:rsidRDefault="005C6314" w:rsidP="00B71CD0">
      <w:pPr>
        <w:spacing w:line="276" w:lineRule="auto"/>
        <w:rPr>
          <w:rFonts w:ascii="Lato" w:hAnsi="Lato"/>
          <w:b/>
          <w:color w:val="595959" w:themeColor="text1" w:themeTint="A6"/>
          <w:sz w:val="22"/>
          <w:szCs w:val="22"/>
          <w:lang w:val="es-ES"/>
        </w:rPr>
      </w:pPr>
    </w:p>
    <w:p w14:paraId="08482F5E" w14:textId="0C8A9CC5" w:rsidR="0059483D" w:rsidRPr="00714269" w:rsidRDefault="005C6314" w:rsidP="00B71CD0">
      <w:pPr>
        <w:spacing w:line="276" w:lineRule="auto"/>
        <w:rPr>
          <w:rFonts w:ascii="Lato" w:hAnsi="Lato"/>
          <w:b/>
          <w:color w:val="595959" w:themeColor="text1" w:themeTint="A6"/>
          <w:sz w:val="22"/>
          <w:szCs w:val="22"/>
          <w:lang w:val="es-ES"/>
        </w:rPr>
      </w:pPr>
      <w:r w:rsidRPr="00714269">
        <w:rPr>
          <w:rFonts w:ascii="Lato" w:hAnsi="Lato"/>
          <w:b/>
          <w:color w:val="595959" w:themeColor="text1" w:themeTint="A6"/>
          <w:sz w:val="22"/>
          <w:szCs w:val="22"/>
          <w:lang w:val="es-ES"/>
        </w:rPr>
        <w:t>2. ALCANCE</w:t>
      </w:r>
    </w:p>
    <w:p w14:paraId="12F33976" w14:textId="17F024AF" w:rsidR="0059483D" w:rsidRPr="00714269" w:rsidRDefault="0059483D" w:rsidP="00B71CD0">
      <w:pPr>
        <w:spacing w:line="276" w:lineRule="auto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510C996F" w14:textId="271A4ED0" w:rsidR="0059483D" w:rsidRPr="00714269" w:rsidRDefault="0059483D" w:rsidP="00B71CD0">
      <w:pPr>
        <w:spacing w:line="276" w:lineRule="auto"/>
        <w:jc w:val="both"/>
        <w:rPr>
          <w:rFonts w:ascii="Lato" w:hAnsi="Lato" w:cs="Arial"/>
          <w:color w:val="595959" w:themeColor="text1" w:themeTint="A6"/>
          <w:sz w:val="22"/>
          <w:szCs w:val="22"/>
          <w:lang w:val="es-ES"/>
        </w:rPr>
      </w:pPr>
      <w:r w:rsidRPr="00714269">
        <w:rPr>
          <w:rFonts w:ascii="Lato" w:hAnsi="Lato" w:cs="Arial"/>
          <w:color w:val="595959" w:themeColor="text1" w:themeTint="A6"/>
          <w:sz w:val="22"/>
          <w:szCs w:val="22"/>
          <w:lang w:val="es-ES"/>
        </w:rPr>
        <w:t xml:space="preserve">El presente procedimiento aplica </w:t>
      </w:r>
      <w:r w:rsidR="001008C3" w:rsidRPr="00714269">
        <w:rPr>
          <w:rFonts w:ascii="Lato" w:hAnsi="Lato" w:cs="Arial"/>
          <w:color w:val="595959" w:themeColor="text1" w:themeTint="A6"/>
          <w:sz w:val="22"/>
          <w:szCs w:val="22"/>
          <w:lang w:val="es-ES"/>
        </w:rPr>
        <w:t xml:space="preserve">al </w:t>
      </w:r>
      <w:r w:rsidR="00093CD1" w:rsidRPr="00714269">
        <w:rPr>
          <w:rFonts w:ascii="Lato" w:hAnsi="Lato" w:cs="Arial"/>
          <w:color w:val="595959" w:themeColor="text1" w:themeTint="A6"/>
          <w:sz w:val="22"/>
          <w:szCs w:val="22"/>
          <w:lang w:val="es-ES"/>
        </w:rPr>
        <w:t>Á</w:t>
      </w:r>
      <w:r w:rsidR="001008C3" w:rsidRPr="00714269">
        <w:rPr>
          <w:rFonts w:ascii="Lato" w:hAnsi="Lato" w:cs="Arial"/>
          <w:color w:val="595959" w:themeColor="text1" w:themeTint="A6"/>
          <w:sz w:val="22"/>
          <w:szCs w:val="22"/>
          <w:lang w:val="es-ES"/>
        </w:rPr>
        <w:t>rea de</w:t>
      </w:r>
      <w:r w:rsidRPr="00714269">
        <w:rPr>
          <w:rFonts w:ascii="Lato" w:hAnsi="Lato" w:cs="Arial"/>
          <w:color w:val="595959" w:themeColor="text1" w:themeTint="A6"/>
          <w:sz w:val="22"/>
          <w:szCs w:val="22"/>
          <w:lang w:val="es-ES"/>
        </w:rPr>
        <w:t xml:space="preserve"> Finanzas.</w:t>
      </w:r>
    </w:p>
    <w:p w14:paraId="547DE39D" w14:textId="60750766" w:rsidR="00B73B38" w:rsidRPr="00714269" w:rsidRDefault="00B73B38" w:rsidP="00B71CD0">
      <w:pPr>
        <w:spacing w:line="276" w:lineRule="auto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22A78569" w14:textId="77777777" w:rsidR="005C6314" w:rsidRPr="00714269" w:rsidRDefault="005C6314" w:rsidP="00B71CD0">
      <w:pPr>
        <w:spacing w:line="276" w:lineRule="auto"/>
        <w:rPr>
          <w:rFonts w:ascii="Lato" w:hAnsi="Lato"/>
          <w:b/>
          <w:color w:val="595959" w:themeColor="text1" w:themeTint="A6"/>
          <w:sz w:val="22"/>
          <w:szCs w:val="22"/>
          <w:lang w:val="es-ES"/>
        </w:rPr>
      </w:pPr>
    </w:p>
    <w:p w14:paraId="02A61775" w14:textId="3966040E" w:rsidR="00B73B38" w:rsidRPr="00714269" w:rsidRDefault="005C6314" w:rsidP="00B71CD0">
      <w:pPr>
        <w:spacing w:line="276" w:lineRule="auto"/>
        <w:rPr>
          <w:rFonts w:ascii="Lato" w:hAnsi="Lato"/>
          <w:b/>
          <w:color w:val="595959" w:themeColor="text1" w:themeTint="A6"/>
          <w:sz w:val="22"/>
          <w:szCs w:val="22"/>
          <w:lang w:val="es-ES"/>
        </w:rPr>
      </w:pPr>
      <w:r w:rsidRPr="00714269">
        <w:rPr>
          <w:rFonts w:ascii="Lato" w:hAnsi="Lato"/>
          <w:b/>
          <w:color w:val="595959" w:themeColor="text1" w:themeTint="A6"/>
          <w:sz w:val="22"/>
          <w:szCs w:val="22"/>
          <w:lang w:val="es-ES"/>
        </w:rPr>
        <w:t xml:space="preserve">3. PROCEDIMIENTO PARA </w:t>
      </w:r>
      <w:r w:rsidR="00B17061">
        <w:rPr>
          <w:rFonts w:ascii="Lato" w:hAnsi="Lato"/>
          <w:b/>
          <w:color w:val="595959" w:themeColor="text1" w:themeTint="A6"/>
          <w:sz w:val="22"/>
          <w:szCs w:val="22"/>
          <w:lang w:val="es-ES"/>
        </w:rPr>
        <w:t xml:space="preserve">LA </w:t>
      </w:r>
      <w:r w:rsidRPr="00714269">
        <w:rPr>
          <w:rFonts w:ascii="Lato" w:hAnsi="Lato"/>
          <w:b/>
          <w:color w:val="595959" w:themeColor="text1" w:themeTint="A6"/>
          <w:sz w:val="22"/>
          <w:szCs w:val="22"/>
          <w:lang w:val="es-ES"/>
        </w:rPr>
        <w:t>APERTURA DE CUENTA BANCARIA</w:t>
      </w:r>
    </w:p>
    <w:p w14:paraId="581E87E1" w14:textId="571E4D26" w:rsidR="00B73B38" w:rsidRPr="00714269" w:rsidRDefault="00B73B38" w:rsidP="00B71CD0">
      <w:pPr>
        <w:spacing w:line="276" w:lineRule="auto"/>
        <w:rPr>
          <w:rFonts w:ascii="Lato" w:eastAsiaTheme="minorHAnsi" w:hAnsi="Lato"/>
          <w:color w:val="595959" w:themeColor="text1" w:themeTint="A6"/>
          <w:sz w:val="22"/>
          <w:szCs w:val="22"/>
          <w:lang w:val="es-ES" w:eastAsia="en-US"/>
        </w:rPr>
      </w:pPr>
    </w:p>
    <w:p w14:paraId="2F762DB2" w14:textId="05FF1F8B" w:rsidR="00E343A8" w:rsidRPr="00714269" w:rsidRDefault="004A7651" w:rsidP="00B71CD0">
      <w:pPr>
        <w:pStyle w:val="Prrafodelista"/>
        <w:numPr>
          <w:ilvl w:val="0"/>
          <w:numId w:val="24"/>
        </w:numPr>
        <w:rPr>
          <w:rFonts w:ascii="Lato" w:hAnsi="Lato"/>
          <w:b/>
          <w:color w:val="595959" w:themeColor="text1" w:themeTint="A6"/>
          <w:lang w:val="es-ES"/>
        </w:rPr>
      </w:pPr>
      <w:r w:rsidRPr="00714269">
        <w:rPr>
          <w:rFonts w:ascii="Lato" w:hAnsi="Lato"/>
          <w:b/>
          <w:color w:val="595959" w:themeColor="text1" w:themeTint="A6"/>
          <w:lang w:val="es-ES"/>
        </w:rPr>
        <w:t>Apertura de cuenta bancaria</w:t>
      </w:r>
    </w:p>
    <w:p w14:paraId="59100A83" w14:textId="2F6DC989" w:rsidR="00DF3E21" w:rsidRPr="00714269" w:rsidRDefault="002C5D61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A partir de 2012, FMCN consolidó todas sus cuentas bancarias en una cuenta concentradora. FMCN cuenta con la segregación correspondiente para cada proyecto y donante a través de su sistema financiero-contable. Sin embargo, la apertura de una nueva cuenta bancaria </w:t>
      </w:r>
      <w:r w:rsidR="003444AD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obedece a dos razones</w:t>
      </w: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principales</w:t>
      </w:r>
      <w:r w:rsidR="00DF3E21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:</w:t>
      </w:r>
    </w:p>
    <w:p w14:paraId="45E0B3F3" w14:textId="77777777" w:rsidR="00DF3E21" w:rsidRPr="00714269" w:rsidRDefault="00DF3E21" w:rsidP="00B71CD0">
      <w:pPr>
        <w:spacing w:line="276" w:lineRule="auto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3D9A2AA4" w14:textId="68AF7053" w:rsidR="00DF3E21" w:rsidRPr="00714269" w:rsidRDefault="004A7651" w:rsidP="00B71CD0">
      <w:pPr>
        <w:pStyle w:val="Prrafodelista"/>
        <w:numPr>
          <w:ilvl w:val="0"/>
          <w:numId w:val="23"/>
        </w:numPr>
        <w:jc w:val="both"/>
        <w:rPr>
          <w:rFonts w:ascii="Lato" w:hAnsi="Lato"/>
          <w:b/>
          <w:bCs/>
          <w:color w:val="595959" w:themeColor="text1" w:themeTint="A6"/>
          <w:lang w:val="es-ES"/>
        </w:rPr>
      </w:pPr>
      <w:r w:rsidRPr="00714269">
        <w:rPr>
          <w:rFonts w:ascii="Lato" w:hAnsi="Lato"/>
          <w:b/>
          <w:bCs/>
          <w:color w:val="595959" w:themeColor="text1" w:themeTint="A6"/>
          <w:lang w:val="es-ES"/>
        </w:rPr>
        <w:t>Convenio con donante</w:t>
      </w:r>
    </w:p>
    <w:p w14:paraId="5FAEFCDC" w14:textId="628C15C0" w:rsidR="00A57152" w:rsidRPr="00714269" w:rsidRDefault="00B82B51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Cuando el convenio con donante establece la utilización de cuenta bancaria exclusiva para el ejercicio de los recursos</w:t>
      </w:r>
      <w:r w:rsidR="00093CD1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,</w:t>
      </w:r>
      <w:r w:rsidR="00DF3E21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l</w:t>
      </w:r>
      <w:r w:rsidR="00462A44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a Dirección de Finanzas (DF) elabora</w:t>
      </w:r>
      <w:r w:rsidR="00093CD1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un</w:t>
      </w:r>
      <w:r w:rsidR="00462A44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escrito para la Dirección General </w:t>
      </w:r>
      <w:r w:rsidR="00DF3E21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(DG) </w:t>
      </w:r>
      <w:r w:rsidR="00DC4B0B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con la siguiente información: i) justificación para la apertura de</w:t>
      </w:r>
      <w:r w:rsidR="006C4332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cuenta bancaria,</w:t>
      </w:r>
      <w:r w:rsidR="00462A44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</w:t>
      </w:r>
      <w:r w:rsidR="00DC4B0B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ii) </w:t>
      </w:r>
      <w:r w:rsidR="006C4332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convenio con el donante,</w:t>
      </w:r>
      <w:r w:rsidR="00F45E5A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</w:t>
      </w:r>
      <w:r w:rsidR="00DC4B0B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iii)</w:t>
      </w:r>
      <w:r w:rsidR="00A46F9F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in</w:t>
      </w:r>
      <w:r w:rsidR="00DC4B0B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stitución bancaria seleccionada iv)</w:t>
      </w:r>
      <w:r w:rsidR="006C4332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apoderados legales </w:t>
      </w:r>
      <w:r w:rsidR="00DF3E21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para la apertura de cuenta bancaria </w:t>
      </w:r>
      <w:r w:rsidR="006C4332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y el tipo de firma asig</w:t>
      </w:r>
      <w:r w:rsidR="00DF3E21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nado para cumplir con el requisito de cuentas bancarias ma</w:t>
      </w:r>
      <w:r w:rsidR="005C2A28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ncomunadas</w:t>
      </w:r>
      <w:r w:rsidR="00DF3E21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.</w:t>
      </w:r>
    </w:p>
    <w:p w14:paraId="33B115EC" w14:textId="20F20A37" w:rsidR="00711D9B" w:rsidRPr="00714269" w:rsidRDefault="00711D9B" w:rsidP="00B71CD0">
      <w:pPr>
        <w:spacing w:line="276" w:lineRule="auto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74F93ACB" w14:textId="35B71582" w:rsidR="00DF3E21" w:rsidRPr="00714269" w:rsidRDefault="00B82B51" w:rsidP="00B71CD0">
      <w:pPr>
        <w:pStyle w:val="Prrafodelista"/>
        <w:numPr>
          <w:ilvl w:val="0"/>
          <w:numId w:val="23"/>
        </w:numPr>
        <w:jc w:val="both"/>
        <w:rPr>
          <w:rFonts w:ascii="Lato" w:hAnsi="Lato"/>
          <w:b/>
          <w:bCs/>
          <w:color w:val="595959" w:themeColor="text1" w:themeTint="A6"/>
          <w:lang w:val="es-ES"/>
        </w:rPr>
      </w:pPr>
      <w:r w:rsidRPr="00714269">
        <w:rPr>
          <w:rFonts w:ascii="Lato" w:hAnsi="Lato"/>
          <w:b/>
          <w:bCs/>
          <w:color w:val="595959" w:themeColor="text1" w:themeTint="A6"/>
          <w:lang w:val="es-ES"/>
        </w:rPr>
        <w:t>Cont</w:t>
      </w:r>
      <w:r w:rsidR="00D24AD3" w:rsidRPr="00714269">
        <w:rPr>
          <w:rFonts w:ascii="Lato" w:hAnsi="Lato"/>
          <w:b/>
          <w:bCs/>
          <w:color w:val="595959" w:themeColor="text1" w:themeTint="A6"/>
          <w:lang w:val="es-ES"/>
        </w:rPr>
        <w:t xml:space="preserve">exto </w:t>
      </w:r>
      <w:r w:rsidR="003E4B08" w:rsidRPr="00714269">
        <w:rPr>
          <w:rFonts w:ascii="Lato" w:hAnsi="Lato"/>
          <w:b/>
          <w:bCs/>
          <w:color w:val="595959" w:themeColor="text1" w:themeTint="A6"/>
          <w:lang w:val="es-ES"/>
        </w:rPr>
        <w:t xml:space="preserve">distinto a un convenio </w:t>
      </w:r>
      <w:r w:rsidR="00E646DC" w:rsidRPr="00714269">
        <w:rPr>
          <w:rFonts w:ascii="Lato" w:hAnsi="Lato"/>
          <w:b/>
          <w:bCs/>
          <w:color w:val="595959" w:themeColor="text1" w:themeTint="A6"/>
          <w:lang w:val="es-ES"/>
        </w:rPr>
        <w:t>con donante</w:t>
      </w:r>
    </w:p>
    <w:p w14:paraId="4CD34C9A" w14:textId="3F07A179" w:rsidR="005C6314" w:rsidRPr="00714269" w:rsidRDefault="006F5083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Cuando el contexto </w:t>
      </w:r>
      <w:r w:rsidR="005C2A28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demanda acción institucional</w:t>
      </w:r>
      <w:r w:rsidR="00093CD1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,</w:t>
      </w:r>
      <w:r w:rsidR="003E4B08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como pudiera ser el cierre de una institución bancaria o el cambio de custodio financiero,</w:t>
      </w:r>
      <w:r w:rsidR="00711D9B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l</w:t>
      </w:r>
      <w:r w:rsidR="005C2A28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a DF</w:t>
      </w:r>
      <w:r w:rsidR="00A46F9F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elabora</w:t>
      </w:r>
      <w:r w:rsidR="000304CF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un</w:t>
      </w:r>
      <w:r w:rsidR="005F6EC7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plan de acción</w:t>
      </w:r>
      <w:r w:rsidR="003E4B08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con su respectiva justificación</w:t>
      </w:r>
      <w:r w:rsidR="005C2F11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para</w:t>
      </w:r>
      <w:r w:rsidR="006B56A8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</w:t>
      </w:r>
      <w:r w:rsidR="0017138B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presentar</w:t>
      </w:r>
      <w:r w:rsidR="00E343A8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ante </w:t>
      </w:r>
      <w:r w:rsidR="00D42BDA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el</w:t>
      </w:r>
      <w:r w:rsidR="00711D9B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Comité de Inversiones</w:t>
      </w:r>
      <w:r w:rsidR="005C2A28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(CI)</w:t>
      </w:r>
      <w:r w:rsidR="00711D9B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, </w:t>
      </w:r>
      <w:r w:rsidR="00D42BDA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ya sea </w:t>
      </w:r>
      <w:r w:rsidR="00711D9B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en sesión ordinaria o extraordinaria</w:t>
      </w:r>
      <w:r w:rsidR="003E4B08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.  A partir del plan aprobado, la DG podrá aprobar abrir cuentas bancarias</w:t>
      </w:r>
      <w:r w:rsidR="00711D9B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</w:t>
      </w:r>
      <w:r w:rsidR="005C2F11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con</w:t>
      </w:r>
      <w:r w:rsidR="00DC4B0B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la siguiente información</w:t>
      </w:r>
      <w:r w:rsidR="003E4B08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de parte de la DF</w:t>
      </w:r>
      <w:r w:rsidR="00DC4B0B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: i) </w:t>
      </w:r>
      <w:r w:rsidR="00093CD1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la </w:t>
      </w:r>
      <w:r w:rsidR="006B56A8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institución bancaria seleccionada, </w:t>
      </w:r>
      <w:r w:rsidR="00DC4B0B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ii) </w:t>
      </w:r>
      <w:r w:rsidR="006B56A8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e</w:t>
      </w:r>
      <w:r w:rsidR="0032747D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l monto de</w:t>
      </w:r>
      <w:r w:rsidR="00CE6058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l</w:t>
      </w:r>
      <w:r w:rsidR="0017138B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depósito inicial (</w:t>
      </w:r>
      <w:r w:rsidR="009B4AC5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detalle sobre la migración de recursos: cuenta </w:t>
      </w:r>
      <w:r w:rsidR="009B4AC5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lastRenderedPageBreak/>
        <w:t xml:space="preserve">origen </w:t>
      </w: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y </w:t>
      </w:r>
      <w:r w:rsidR="009B4AC5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cuenta destino</w:t>
      </w:r>
      <w:r w:rsidR="0017138B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),</w:t>
      </w:r>
      <w:r w:rsidR="006B56A8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</w:t>
      </w:r>
      <w:r w:rsidR="003E4B08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iii</w:t>
      </w:r>
      <w:r w:rsidR="00DC4B0B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) a</w:t>
      </w:r>
      <w:r w:rsidR="00711D9B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poderados legales para la apertura de cuenta bancaria y el tipo de firma asignado para cumplir con el requisito de cuentas bancarias mancomunadas.</w:t>
      </w:r>
    </w:p>
    <w:p w14:paraId="537F5DA3" w14:textId="77777777" w:rsidR="005C6314" w:rsidRPr="00714269" w:rsidRDefault="005C6314" w:rsidP="00B71CD0">
      <w:pPr>
        <w:spacing w:line="276" w:lineRule="auto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27D5498D" w14:textId="00338293" w:rsidR="005C6314" w:rsidRPr="00714269" w:rsidRDefault="006B56A8" w:rsidP="00B71CD0">
      <w:pPr>
        <w:spacing w:line="276" w:lineRule="auto"/>
        <w:rPr>
          <w:rFonts w:ascii="Lato" w:hAnsi="Lato"/>
          <w:color w:val="595959" w:themeColor="text1" w:themeTint="A6"/>
          <w:sz w:val="22"/>
          <w:szCs w:val="22"/>
          <w:lang w:val="es-ES"/>
        </w:rPr>
      </w:pP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Los apoderados lega</w:t>
      </w:r>
      <w:r w:rsidR="00E343A8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les autorizados para </w:t>
      </w:r>
      <w:r w:rsidR="00093CD1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abrir </w:t>
      </w:r>
      <w:r w:rsidR="00E343A8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una cuenta bancaria</w:t>
      </w: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en FMCN son:</w:t>
      </w:r>
    </w:p>
    <w:p w14:paraId="0464AB36" w14:textId="77777777" w:rsidR="006B56A8" w:rsidRPr="00714269" w:rsidRDefault="006B56A8" w:rsidP="00B71CD0">
      <w:pPr>
        <w:spacing w:line="276" w:lineRule="auto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tbl>
      <w:tblPr>
        <w:tblW w:w="6146" w:type="dxa"/>
        <w:jc w:val="center"/>
        <w:tblBorders>
          <w:top w:val="single" w:sz="4" w:space="0" w:color="7F7F7F" w:themeColor="text1" w:themeTint="80"/>
          <w:bottom w:val="single" w:sz="4" w:space="0" w:color="7F7F7F" w:themeColor="text1" w:themeTint="80"/>
          <w:insideH w:val="single" w:sz="4" w:space="0" w:color="7F7F7F" w:themeColor="text1" w:themeTint="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5"/>
        <w:gridCol w:w="1621"/>
      </w:tblGrid>
      <w:tr w:rsidR="00166952" w:rsidRPr="00714269" w14:paraId="69199334" w14:textId="77777777" w:rsidTr="00B71CD0">
        <w:trPr>
          <w:trHeight w:val="369"/>
          <w:jc w:val="center"/>
        </w:trPr>
        <w:tc>
          <w:tcPr>
            <w:tcW w:w="4525" w:type="dxa"/>
            <w:shd w:val="clear" w:color="auto" w:fill="D9D9D9" w:themeFill="background1" w:themeFillShade="D9"/>
            <w:vAlign w:val="center"/>
            <w:hideMark/>
          </w:tcPr>
          <w:p w14:paraId="1135AE8B" w14:textId="77777777" w:rsidR="00FE7940" w:rsidRPr="00714269" w:rsidRDefault="00FE7940" w:rsidP="00B71CD0">
            <w:pPr>
              <w:spacing w:line="276" w:lineRule="auto"/>
              <w:rPr>
                <w:rFonts w:ascii="Lato" w:eastAsia="Times New Roman" w:hAnsi="Lato" w:cs="Calibri"/>
                <w:b/>
                <w:bCs/>
                <w:color w:val="595959" w:themeColor="text1" w:themeTint="A6"/>
                <w:sz w:val="22"/>
                <w:szCs w:val="22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b/>
                <w:bCs/>
                <w:color w:val="595959" w:themeColor="text1" w:themeTint="A6"/>
                <w:sz w:val="22"/>
                <w:szCs w:val="22"/>
                <w:lang w:val="es-ES" w:eastAsia="es-MX"/>
              </w:rPr>
              <w:t>Apoderado legal</w:t>
            </w:r>
          </w:p>
        </w:tc>
        <w:tc>
          <w:tcPr>
            <w:tcW w:w="1621" w:type="dxa"/>
            <w:shd w:val="clear" w:color="auto" w:fill="D9D9D9" w:themeFill="background1" w:themeFillShade="D9"/>
            <w:vAlign w:val="center"/>
            <w:hideMark/>
          </w:tcPr>
          <w:p w14:paraId="5375CBD5" w14:textId="77777777" w:rsidR="00FE7940" w:rsidRPr="00714269" w:rsidRDefault="00FE7940" w:rsidP="00B71CD0">
            <w:pPr>
              <w:spacing w:line="276" w:lineRule="auto"/>
              <w:rPr>
                <w:rFonts w:ascii="Lato" w:eastAsia="Times New Roman" w:hAnsi="Lato" w:cs="Calibri"/>
                <w:b/>
                <w:bCs/>
                <w:color w:val="595959" w:themeColor="text1" w:themeTint="A6"/>
                <w:sz w:val="22"/>
                <w:szCs w:val="22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b/>
                <w:bCs/>
                <w:color w:val="595959" w:themeColor="text1" w:themeTint="A6"/>
                <w:sz w:val="22"/>
                <w:szCs w:val="22"/>
                <w:lang w:val="es-ES" w:eastAsia="es-MX"/>
              </w:rPr>
              <w:t>Tipo de firma</w:t>
            </w:r>
          </w:p>
        </w:tc>
      </w:tr>
      <w:tr w:rsidR="00166952" w:rsidRPr="00714269" w14:paraId="00BF3940" w14:textId="77777777" w:rsidTr="00B71CD0">
        <w:trPr>
          <w:trHeight w:val="369"/>
          <w:jc w:val="center"/>
        </w:trPr>
        <w:tc>
          <w:tcPr>
            <w:tcW w:w="4525" w:type="dxa"/>
            <w:shd w:val="clear" w:color="auto" w:fill="auto"/>
            <w:vAlign w:val="center"/>
            <w:hideMark/>
          </w:tcPr>
          <w:p w14:paraId="15311027" w14:textId="77777777" w:rsidR="00FE7940" w:rsidRPr="00714269" w:rsidRDefault="00FE7940" w:rsidP="00B71CD0">
            <w:pPr>
              <w:spacing w:line="276" w:lineRule="auto"/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  <w:t>Dirección General</w:t>
            </w:r>
          </w:p>
        </w:tc>
        <w:tc>
          <w:tcPr>
            <w:tcW w:w="1621" w:type="dxa"/>
            <w:shd w:val="clear" w:color="auto" w:fill="auto"/>
            <w:noWrap/>
            <w:vAlign w:val="bottom"/>
            <w:hideMark/>
          </w:tcPr>
          <w:p w14:paraId="16456EFA" w14:textId="77777777" w:rsidR="00FE7940" w:rsidRPr="00714269" w:rsidRDefault="00FE7940" w:rsidP="00B71CD0">
            <w:pPr>
              <w:spacing w:line="276" w:lineRule="auto"/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  <w:t>A</w:t>
            </w:r>
          </w:p>
        </w:tc>
      </w:tr>
      <w:tr w:rsidR="00166952" w:rsidRPr="00714269" w14:paraId="240C9C12" w14:textId="77777777" w:rsidTr="00B71CD0">
        <w:trPr>
          <w:trHeight w:val="369"/>
          <w:jc w:val="center"/>
        </w:trPr>
        <w:tc>
          <w:tcPr>
            <w:tcW w:w="4525" w:type="dxa"/>
            <w:shd w:val="clear" w:color="auto" w:fill="auto"/>
            <w:vAlign w:val="center"/>
            <w:hideMark/>
          </w:tcPr>
          <w:p w14:paraId="43040A37" w14:textId="77777777" w:rsidR="00FE7940" w:rsidRPr="00714269" w:rsidRDefault="00FE7940" w:rsidP="00B71CD0">
            <w:pPr>
              <w:spacing w:line="276" w:lineRule="auto"/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  <w:t>Dirección de Finanzas</w:t>
            </w:r>
          </w:p>
        </w:tc>
        <w:tc>
          <w:tcPr>
            <w:tcW w:w="1621" w:type="dxa"/>
            <w:shd w:val="clear" w:color="auto" w:fill="auto"/>
            <w:noWrap/>
            <w:vAlign w:val="bottom"/>
            <w:hideMark/>
          </w:tcPr>
          <w:p w14:paraId="0D08C224" w14:textId="77777777" w:rsidR="00FE7940" w:rsidRPr="00714269" w:rsidRDefault="00FE7940" w:rsidP="00B71CD0">
            <w:pPr>
              <w:spacing w:line="276" w:lineRule="auto"/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  <w:t>A</w:t>
            </w:r>
          </w:p>
        </w:tc>
      </w:tr>
      <w:tr w:rsidR="00166952" w:rsidRPr="00714269" w14:paraId="72D0D21F" w14:textId="77777777" w:rsidTr="00B71CD0">
        <w:trPr>
          <w:trHeight w:val="369"/>
          <w:jc w:val="center"/>
        </w:trPr>
        <w:tc>
          <w:tcPr>
            <w:tcW w:w="4525" w:type="dxa"/>
            <w:shd w:val="clear" w:color="auto" w:fill="auto"/>
            <w:vAlign w:val="center"/>
            <w:hideMark/>
          </w:tcPr>
          <w:p w14:paraId="12CC32D6" w14:textId="77777777" w:rsidR="00FE7940" w:rsidRPr="00714269" w:rsidRDefault="00FE7940" w:rsidP="00B71CD0">
            <w:pPr>
              <w:spacing w:line="276" w:lineRule="auto"/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  <w:t>Dirección de Conservación</w:t>
            </w:r>
          </w:p>
        </w:tc>
        <w:tc>
          <w:tcPr>
            <w:tcW w:w="1621" w:type="dxa"/>
            <w:shd w:val="clear" w:color="auto" w:fill="auto"/>
            <w:noWrap/>
            <w:vAlign w:val="bottom"/>
            <w:hideMark/>
          </w:tcPr>
          <w:p w14:paraId="3EC6FC7B" w14:textId="77777777" w:rsidR="00FE7940" w:rsidRPr="00714269" w:rsidRDefault="00FE7940" w:rsidP="00B71CD0">
            <w:pPr>
              <w:spacing w:line="276" w:lineRule="auto"/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  <w:t>B</w:t>
            </w:r>
          </w:p>
        </w:tc>
      </w:tr>
      <w:tr w:rsidR="00166952" w:rsidRPr="00714269" w14:paraId="4337CB78" w14:textId="77777777" w:rsidTr="00B71CD0">
        <w:trPr>
          <w:trHeight w:val="369"/>
          <w:jc w:val="center"/>
        </w:trPr>
        <w:tc>
          <w:tcPr>
            <w:tcW w:w="4525" w:type="dxa"/>
            <w:shd w:val="clear" w:color="auto" w:fill="auto"/>
            <w:vAlign w:val="center"/>
            <w:hideMark/>
          </w:tcPr>
          <w:p w14:paraId="5019EE7D" w14:textId="746F5BF7" w:rsidR="00FE7940" w:rsidRPr="00714269" w:rsidRDefault="00FE7940" w:rsidP="00B71CD0">
            <w:pPr>
              <w:spacing w:line="276" w:lineRule="auto"/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  <w:t>Dirección de Investigación y</w:t>
            </w:r>
            <w:r w:rsidR="00166952" w:rsidRPr="00714269"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  <w:t xml:space="preserve"> </w:t>
            </w:r>
            <w:r w:rsidRPr="00714269"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  <w:t>Desarrollo</w:t>
            </w:r>
          </w:p>
        </w:tc>
        <w:tc>
          <w:tcPr>
            <w:tcW w:w="1621" w:type="dxa"/>
            <w:shd w:val="clear" w:color="auto" w:fill="auto"/>
            <w:noWrap/>
            <w:vAlign w:val="bottom"/>
            <w:hideMark/>
          </w:tcPr>
          <w:p w14:paraId="0DDF1BBD" w14:textId="77777777" w:rsidR="00FE7940" w:rsidRPr="00714269" w:rsidRDefault="00FE7940" w:rsidP="00B71CD0">
            <w:pPr>
              <w:spacing w:line="276" w:lineRule="auto"/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  <w:t>B</w:t>
            </w:r>
          </w:p>
        </w:tc>
      </w:tr>
      <w:tr w:rsidR="00166952" w:rsidRPr="00714269" w14:paraId="6B2C5320" w14:textId="77777777" w:rsidTr="00B71CD0">
        <w:trPr>
          <w:trHeight w:val="369"/>
          <w:jc w:val="center"/>
        </w:trPr>
        <w:tc>
          <w:tcPr>
            <w:tcW w:w="4525" w:type="dxa"/>
            <w:shd w:val="clear" w:color="auto" w:fill="auto"/>
            <w:vAlign w:val="center"/>
            <w:hideMark/>
          </w:tcPr>
          <w:p w14:paraId="4E85A212" w14:textId="77777777" w:rsidR="00FE7940" w:rsidRPr="00714269" w:rsidRDefault="00FE7940" w:rsidP="00B71CD0">
            <w:pPr>
              <w:spacing w:line="276" w:lineRule="auto"/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  <w:t>Dirección de Manejo Sustentable</w:t>
            </w:r>
          </w:p>
        </w:tc>
        <w:tc>
          <w:tcPr>
            <w:tcW w:w="1621" w:type="dxa"/>
            <w:shd w:val="clear" w:color="auto" w:fill="auto"/>
            <w:noWrap/>
            <w:vAlign w:val="bottom"/>
            <w:hideMark/>
          </w:tcPr>
          <w:p w14:paraId="77A76075" w14:textId="77777777" w:rsidR="00FE7940" w:rsidRPr="00714269" w:rsidRDefault="00FE7940" w:rsidP="00B71CD0">
            <w:pPr>
              <w:spacing w:line="276" w:lineRule="auto"/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  <w:t>B</w:t>
            </w:r>
          </w:p>
        </w:tc>
      </w:tr>
    </w:tbl>
    <w:p w14:paraId="3AC90C86" w14:textId="24F2B8B1" w:rsidR="00C738E4" w:rsidRPr="00714269" w:rsidRDefault="00C738E4" w:rsidP="00B71CD0">
      <w:pPr>
        <w:spacing w:line="276" w:lineRule="auto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326FAB5B" w14:textId="224BFA6A" w:rsidR="006C4332" w:rsidRPr="00714269" w:rsidRDefault="006C4332" w:rsidP="00B71CD0">
      <w:pPr>
        <w:spacing w:line="276" w:lineRule="auto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4BE2FD25" w14:textId="06902F0F" w:rsidR="00B82B51" w:rsidRPr="00714269" w:rsidRDefault="00B82B51" w:rsidP="00B71CD0">
      <w:pPr>
        <w:pStyle w:val="Prrafodelista"/>
        <w:numPr>
          <w:ilvl w:val="0"/>
          <w:numId w:val="24"/>
        </w:numPr>
        <w:rPr>
          <w:rFonts w:ascii="Lato" w:hAnsi="Lato"/>
          <w:b/>
          <w:color w:val="595959" w:themeColor="text1" w:themeTint="A6"/>
          <w:lang w:val="es-ES"/>
        </w:rPr>
      </w:pPr>
      <w:r w:rsidRPr="00714269">
        <w:rPr>
          <w:rFonts w:ascii="Lato" w:hAnsi="Lato"/>
          <w:b/>
          <w:color w:val="595959" w:themeColor="text1" w:themeTint="A6"/>
          <w:lang w:val="es-ES"/>
        </w:rPr>
        <w:t>Autorización de apertura</w:t>
      </w:r>
    </w:p>
    <w:p w14:paraId="2C28D72A" w14:textId="09DB900F" w:rsidR="00B82B51" w:rsidRPr="00714269" w:rsidRDefault="0032747D" w:rsidP="00B71CD0">
      <w:pPr>
        <w:spacing w:line="276" w:lineRule="auto"/>
        <w:rPr>
          <w:rFonts w:ascii="Lato" w:hAnsi="Lato"/>
          <w:color w:val="595959" w:themeColor="text1" w:themeTint="A6"/>
          <w:sz w:val="22"/>
          <w:szCs w:val="22"/>
          <w:lang w:val="es-ES"/>
        </w:rPr>
      </w:pP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Los órganos faculta</w:t>
      </w:r>
      <w:r w:rsidR="005C2F11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d</w:t>
      </w: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os para</w:t>
      </w:r>
      <w:r w:rsidR="00CC425E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autorizar la apertura de cuentas bancarias son:</w:t>
      </w:r>
    </w:p>
    <w:p w14:paraId="128D5CF5" w14:textId="77777777" w:rsidR="00CC425E" w:rsidRPr="00714269" w:rsidRDefault="00CC425E" w:rsidP="00B71CD0">
      <w:pPr>
        <w:spacing w:line="276" w:lineRule="auto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1B161731" w14:textId="29507EF8" w:rsidR="00B82B51" w:rsidRPr="00714269" w:rsidRDefault="00B82B51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La DG autoriza la apertura de cuenta bancaria </w:t>
      </w:r>
      <w:r w:rsidR="005C2A28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cuando se origina </w:t>
      </w: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de un convenio marco con</w:t>
      </w:r>
      <w:r w:rsidR="005C2A28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</w:t>
      </w: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donante. </w:t>
      </w:r>
    </w:p>
    <w:p w14:paraId="7B24AFDF" w14:textId="277C4501" w:rsidR="00A7557F" w:rsidRPr="00714269" w:rsidRDefault="00A7557F" w:rsidP="00B71CD0">
      <w:pPr>
        <w:spacing w:line="276" w:lineRule="auto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66418063" w14:textId="3EBBAACE" w:rsidR="00B82B51" w:rsidRPr="00714269" w:rsidRDefault="005C2A28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El CI</w:t>
      </w:r>
      <w:r w:rsidR="004E28D6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emite </w:t>
      </w:r>
      <w:r w:rsidR="00A54ACF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autorización, observaciones y recomendaciones a</w:t>
      </w:r>
      <w:r w:rsidR="00D24AD3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l plan de acción referente a la</w:t>
      </w: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apertura de cuenta bancaria por razones distintas a un convenio con donante</w:t>
      </w:r>
      <w:r w:rsidR="003E4B08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y la DG autoriza la apertura de cuentas bancarias de acuerdo al plan</w:t>
      </w: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.</w:t>
      </w:r>
    </w:p>
    <w:p w14:paraId="38B0B8FE" w14:textId="1023C9C9" w:rsidR="004E28D6" w:rsidRPr="00714269" w:rsidRDefault="004E28D6" w:rsidP="00B71CD0">
      <w:pPr>
        <w:spacing w:line="276" w:lineRule="auto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5E201FA2" w14:textId="7534237D" w:rsidR="005C2A28" w:rsidRPr="00714269" w:rsidRDefault="005C2A28" w:rsidP="00B71CD0">
      <w:pPr>
        <w:pStyle w:val="Prrafodelista"/>
        <w:numPr>
          <w:ilvl w:val="0"/>
          <w:numId w:val="24"/>
        </w:numPr>
        <w:rPr>
          <w:rFonts w:ascii="Lato" w:hAnsi="Lato"/>
          <w:b/>
          <w:color w:val="595959" w:themeColor="text1" w:themeTint="A6"/>
          <w:lang w:val="es-ES"/>
        </w:rPr>
      </w:pPr>
      <w:r w:rsidRPr="00714269">
        <w:rPr>
          <w:rFonts w:ascii="Lato" w:hAnsi="Lato"/>
          <w:b/>
          <w:color w:val="595959" w:themeColor="text1" w:themeTint="A6"/>
          <w:lang w:val="es-ES"/>
        </w:rPr>
        <w:t>Formalización de apertura de cuenta bancaria</w:t>
      </w:r>
    </w:p>
    <w:p w14:paraId="3CC0E978" w14:textId="3A9E3AAB" w:rsidR="005C2A28" w:rsidRPr="00714269" w:rsidRDefault="001A6D92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Una vez </w:t>
      </w:r>
      <w:r w:rsidR="00A54ACF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atendidas</w:t>
      </w: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las observaciones y recomendaciones del CI</w:t>
      </w:r>
      <w:r w:rsidR="0017138B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; así como</w:t>
      </w:r>
      <w:r w:rsidR="00CE6058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de contar con</w:t>
      </w:r>
      <w:r w:rsidR="00A54ACF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la autorización de DG y CI respectivamente, </w:t>
      </w: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l</w:t>
      </w:r>
      <w:r w:rsidR="005C2A28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a DF</w:t>
      </w:r>
      <w:r w:rsidR="003E4B08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,</w:t>
      </w:r>
      <w:r w:rsidR="005C2F11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con el apoyo de la Coordinadora </w:t>
      </w: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de Tesorería</w:t>
      </w:r>
      <w:r w:rsidR="003E4B08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,</w:t>
      </w:r>
      <w:r w:rsidR="005C2A28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</w:t>
      </w: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inicia </w:t>
      </w:r>
      <w:r w:rsidR="00A54ACF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el </w:t>
      </w: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trámite de apertura de cuenta bancaria en la institución financiera seleccionada.</w:t>
      </w:r>
    </w:p>
    <w:p w14:paraId="77322263" w14:textId="595E242D" w:rsidR="001A6D92" w:rsidRPr="00714269" w:rsidRDefault="001A6D92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0B9EC810" w14:textId="150EFF84" w:rsidR="001A6D92" w:rsidRPr="00714269" w:rsidRDefault="00A54ACF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La DF </w:t>
      </w:r>
      <w:r w:rsidR="001A6D92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verifica que los datos asentados en el contrato de apertura de cuenta bancaria sean los correctos</w:t>
      </w:r>
      <w:r w:rsidR="000304CF">
        <w:rPr>
          <w:rFonts w:ascii="Lato" w:hAnsi="Lato"/>
          <w:color w:val="595959" w:themeColor="text1" w:themeTint="A6"/>
          <w:sz w:val="22"/>
          <w:szCs w:val="22"/>
          <w:lang w:val="es-ES"/>
        </w:rPr>
        <w:t>; i</w:t>
      </w:r>
      <w:r w:rsidR="00E646DC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nforma a la DG y demás apoderados de las especificaciones de la cuenta a abrir relacionando la documentación con el convenio con un donante específico o con el plan de acción aprob</w:t>
      </w:r>
      <w:r w:rsidR="00B536C0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ado por el CI</w:t>
      </w:r>
      <w:r w:rsidR="00E646DC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, otorgando un periodo razonable (idealmente un par de días) para su revisión antes de la firma respectiva. </w:t>
      </w:r>
    </w:p>
    <w:p w14:paraId="0A69B7BA" w14:textId="14BA17A4" w:rsidR="001A6D92" w:rsidRPr="00714269" w:rsidRDefault="001A6D92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313FE297" w14:textId="00F90FD0" w:rsidR="001A6D92" w:rsidRPr="00714269" w:rsidRDefault="001A6D92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La DF </w:t>
      </w:r>
      <w:r w:rsidR="0032747D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recaba las firmas en la documentación requerida para la</w:t>
      </w: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apertura de cuenta bancaria</w:t>
      </w:r>
      <w:r w:rsidR="0032747D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. </w:t>
      </w:r>
      <w:r w:rsidR="00E646DC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Ejemplos de los </w:t>
      </w:r>
      <w:r w:rsidR="00A54ACF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documentos</w:t>
      </w:r>
      <w:r w:rsidR="00E646DC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requeridos por tres instituciones bancarias</w:t>
      </w:r>
      <w:r w:rsidR="00300AFA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para la apertura de cuenta </w:t>
      </w:r>
      <w:r w:rsidR="00DC4B0B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bancaria </w:t>
      </w:r>
      <w:r w:rsidR="00300AFA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están detallado</w:t>
      </w:r>
      <w:r w:rsidR="00DC4B0B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s</w:t>
      </w:r>
      <w:r w:rsidR="00300AFA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e</w:t>
      </w:r>
      <w:r w:rsidR="000304CF">
        <w:rPr>
          <w:rFonts w:ascii="Lato" w:hAnsi="Lato"/>
          <w:color w:val="595959" w:themeColor="text1" w:themeTint="A6"/>
          <w:sz w:val="22"/>
          <w:szCs w:val="22"/>
          <w:lang w:val="es-ES"/>
        </w:rPr>
        <w:t>n el</w:t>
      </w:r>
      <w:r w:rsidR="00300AFA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</w:t>
      </w:r>
      <w:r w:rsidR="00300AFA" w:rsidRPr="00714269">
        <w:rPr>
          <w:rFonts w:ascii="Lato" w:hAnsi="Lato"/>
          <w:b/>
          <w:color w:val="595959" w:themeColor="text1" w:themeTint="A6"/>
          <w:sz w:val="22"/>
          <w:szCs w:val="22"/>
          <w:lang w:val="es-ES"/>
        </w:rPr>
        <w:t>Anexo I</w:t>
      </w:r>
      <w:r w:rsidR="00300AFA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.</w:t>
      </w:r>
    </w:p>
    <w:p w14:paraId="52A38FBF" w14:textId="67CE61BC" w:rsidR="00A54ACF" w:rsidRPr="00714269" w:rsidRDefault="00A54ACF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738850D8" w14:textId="2176BE81" w:rsidR="00A54ACF" w:rsidRPr="00714269" w:rsidRDefault="0032747D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lastRenderedPageBreak/>
        <w:t xml:space="preserve">La DF entrega documentación firmada a la institución bancaria y archiva su original en la carpeta física correspondiente, así como en </w:t>
      </w:r>
      <w:r w:rsidR="00E646DC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la </w:t>
      </w: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carpeta digital de contratos.</w:t>
      </w:r>
    </w:p>
    <w:p w14:paraId="0B4B7CB0" w14:textId="500B284B" w:rsidR="00300AFA" w:rsidRPr="00714269" w:rsidRDefault="00300AFA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7817008B" w14:textId="3E5C6721" w:rsidR="00300AFA" w:rsidRPr="00714269" w:rsidRDefault="0032747D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La DF comunica a la Contadora General la apertura de la cuenta bancaria </w:t>
      </w:r>
      <w:r w:rsidR="00CE6058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para el</w:t>
      </w: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alta de cuenta contable en bancos.</w:t>
      </w:r>
    </w:p>
    <w:p w14:paraId="16B82C58" w14:textId="3289EA89" w:rsidR="00CE6058" w:rsidRPr="00714269" w:rsidRDefault="00CE6058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6FF756F1" w14:textId="6C27630B" w:rsidR="00CE6058" w:rsidRPr="00714269" w:rsidRDefault="00CE6058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Una vez con la cuenta bancaria activa,</w:t>
      </w:r>
      <w:r w:rsidR="00E45E83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la DF, con el apoyo de la Coordinadora</w:t>
      </w: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de Tesorería</w:t>
      </w:r>
      <w:r w:rsidR="00E45E83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,</w:t>
      </w:r>
      <w:r w:rsidR="003D306A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procede a</w:t>
      </w: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la activación de la banca en línea</w:t>
      </w:r>
      <w:r w:rsidR="00AF2F4C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.</w:t>
      </w:r>
    </w:p>
    <w:p w14:paraId="105FB52E" w14:textId="42B6628E" w:rsidR="00AF2F4C" w:rsidRPr="00714269" w:rsidRDefault="00AF2F4C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69EFA7F1" w14:textId="6D8BEE28" w:rsidR="00AF2F4C" w:rsidRPr="00714269" w:rsidRDefault="00AF2F4C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El personal au</w:t>
      </w:r>
      <w:r w:rsidR="00E343A8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torizado para operar la</w:t>
      </w:r>
      <w:r w:rsidR="00E45E83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</w:t>
      </w: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banca en línea es:</w:t>
      </w:r>
    </w:p>
    <w:p w14:paraId="79515593" w14:textId="15B474AD" w:rsidR="00AF2F4C" w:rsidRPr="00714269" w:rsidRDefault="00AF2F4C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0AA2CB9A" w14:textId="3C608FCD" w:rsidR="00E343A8" w:rsidRPr="00714269" w:rsidRDefault="003D306A" w:rsidP="00B71CD0">
      <w:pPr>
        <w:pStyle w:val="Prrafodelista"/>
        <w:numPr>
          <w:ilvl w:val="0"/>
          <w:numId w:val="26"/>
        </w:numPr>
        <w:jc w:val="both"/>
        <w:rPr>
          <w:rFonts w:ascii="Lato" w:hAnsi="Lato"/>
          <w:b/>
          <w:bCs/>
          <w:color w:val="595959" w:themeColor="text1" w:themeTint="A6"/>
          <w:lang w:val="es-ES"/>
        </w:rPr>
      </w:pPr>
      <w:r w:rsidRPr="00714269">
        <w:rPr>
          <w:rFonts w:ascii="Lato" w:hAnsi="Lato"/>
          <w:b/>
          <w:bCs/>
          <w:color w:val="595959" w:themeColor="text1" w:themeTint="A6"/>
          <w:lang w:val="es-ES"/>
        </w:rPr>
        <w:t>C</w:t>
      </w:r>
      <w:r w:rsidR="00E343A8" w:rsidRPr="00714269">
        <w:rPr>
          <w:rFonts w:ascii="Lato" w:hAnsi="Lato"/>
          <w:b/>
          <w:bCs/>
          <w:color w:val="595959" w:themeColor="text1" w:themeTint="A6"/>
          <w:lang w:val="es-ES"/>
        </w:rPr>
        <w:t>uentas de cheques</w:t>
      </w:r>
    </w:p>
    <w:tbl>
      <w:tblPr>
        <w:tblW w:w="7325" w:type="dxa"/>
        <w:jc w:val="center"/>
        <w:tblBorders>
          <w:top w:val="single" w:sz="4" w:space="0" w:color="7F7F7F"/>
          <w:bottom w:val="single" w:sz="4" w:space="0" w:color="7F7F7F"/>
          <w:insideH w:val="single" w:sz="4" w:space="0" w:color="7F7F7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3639"/>
      </w:tblGrid>
      <w:tr w:rsidR="00166952" w:rsidRPr="00714269" w14:paraId="18150DC6" w14:textId="77777777" w:rsidTr="00B71CD0">
        <w:trPr>
          <w:trHeight w:val="391"/>
          <w:jc w:val="center"/>
        </w:trPr>
        <w:tc>
          <w:tcPr>
            <w:tcW w:w="3686" w:type="dxa"/>
            <w:shd w:val="clear" w:color="auto" w:fill="D9D9D9" w:themeFill="background1" w:themeFillShade="D9"/>
            <w:vAlign w:val="center"/>
            <w:hideMark/>
          </w:tcPr>
          <w:p w14:paraId="57F49F57" w14:textId="77777777" w:rsidR="004A7651" w:rsidRPr="00714269" w:rsidRDefault="004A7651" w:rsidP="00B71CD0">
            <w:pPr>
              <w:spacing w:line="276" w:lineRule="auto"/>
              <w:rPr>
                <w:rFonts w:ascii="Lato" w:eastAsia="Times New Roman" w:hAnsi="Lato" w:cs="Calibri"/>
                <w:b/>
                <w:bCs/>
                <w:color w:val="595959" w:themeColor="text1" w:themeTint="A6"/>
                <w:sz w:val="22"/>
                <w:szCs w:val="22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b/>
                <w:bCs/>
                <w:color w:val="595959" w:themeColor="text1" w:themeTint="A6"/>
                <w:sz w:val="22"/>
                <w:szCs w:val="22"/>
                <w:lang w:val="es-ES" w:eastAsia="es-MX"/>
              </w:rPr>
              <w:t>Puesto</w:t>
            </w:r>
          </w:p>
        </w:tc>
        <w:tc>
          <w:tcPr>
            <w:tcW w:w="3639" w:type="dxa"/>
            <w:shd w:val="clear" w:color="auto" w:fill="D9D9D9" w:themeFill="background1" w:themeFillShade="D9"/>
            <w:vAlign w:val="center"/>
            <w:hideMark/>
          </w:tcPr>
          <w:p w14:paraId="5E91BD39" w14:textId="77777777" w:rsidR="004A7651" w:rsidRPr="00714269" w:rsidRDefault="004A7651" w:rsidP="00B71CD0">
            <w:pPr>
              <w:spacing w:line="276" w:lineRule="auto"/>
              <w:rPr>
                <w:rFonts w:ascii="Lato" w:eastAsia="Times New Roman" w:hAnsi="Lato" w:cs="Calibri"/>
                <w:b/>
                <w:bCs/>
                <w:color w:val="595959" w:themeColor="text1" w:themeTint="A6"/>
                <w:sz w:val="22"/>
                <w:szCs w:val="22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b/>
                <w:bCs/>
                <w:color w:val="595959" w:themeColor="text1" w:themeTint="A6"/>
                <w:sz w:val="22"/>
                <w:szCs w:val="22"/>
                <w:lang w:val="es-ES" w:eastAsia="es-MX"/>
              </w:rPr>
              <w:t>Permiso</w:t>
            </w:r>
          </w:p>
        </w:tc>
      </w:tr>
      <w:tr w:rsidR="00166952" w:rsidRPr="00714269" w14:paraId="0574CFF2" w14:textId="77777777" w:rsidTr="00B71CD0">
        <w:trPr>
          <w:trHeight w:val="391"/>
          <w:jc w:val="center"/>
        </w:trPr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7ABE2524" w14:textId="77777777" w:rsidR="004A7651" w:rsidRPr="00714269" w:rsidRDefault="004A7651" w:rsidP="00B71CD0">
            <w:pPr>
              <w:spacing w:line="276" w:lineRule="auto"/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  <w:t>Dirección de Finanzas</w:t>
            </w:r>
          </w:p>
        </w:tc>
        <w:tc>
          <w:tcPr>
            <w:tcW w:w="3639" w:type="dxa"/>
            <w:shd w:val="clear" w:color="auto" w:fill="auto"/>
            <w:noWrap/>
            <w:vAlign w:val="bottom"/>
            <w:hideMark/>
          </w:tcPr>
          <w:p w14:paraId="6BA3C977" w14:textId="77777777" w:rsidR="004A7651" w:rsidRPr="00714269" w:rsidRDefault="004A7651" w:rsidP="00B71CD0">
            <w:pPr>
              <w:spacing w:line="276" w:lineRule="auto"/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  <w:t>Consulta y autorización</w:t>
            </w:r>
          </w:p>
        </w:tc>
      </w:tr>
      <w:tr w:rsidR="00166952" w:rsidRPr="00714269" w14:paraId="1A23C56D" w14:textId="77777777" w:rsidTr="00B71CD0">
        <w:trPr>
          <w:trHeight w:val="391"/>
          <w:jc w:val="center"/>
        </w:trPr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6D5A382D" w14:textId="77777777" w:rsidR="004A7651" w:rsidRPr="00714269" w:rsidRDefault="004A7651" w:rsidP="00B71CD0">
            <w:pPr>
              <w:spacing w:line="276" w:lineRule="auto"/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  <w:t>Coordinadora de Tesorería</w:t>
            </w:r>
          </w:p>
        </w:tc>
        <w:tc>
          <w:tcPr>
            <w:tcW w:w="3639" w:type="dxa"/>
            <w:shd w:val="clear" w:color="auto" w:fill="auto"/>
            <w:noWrap/>
            <w:vAlign w:val="bottom"/>
            <w:hideMark/>
          </w:tcPr>
          <w:p w14:paraId="3929F834" w14:textId="77777777" w:rsidR="004A7651" w:rsidRPr="00714269" w:rsidRDefault="004A7651" w:rsidP="00B71CD0">
            <w:pPr>
              <w:spacing w:line="276" w:lineRule="auto"/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  <w:t>Consulta y autorización</w:t>
            </w:r>
          </w:p>
        </w:tc>
      </w:tr>
      <w:tr w:rsidR="00166952" w:rsidRPr="00714269" w14:paraId="15075AC7" w14:textId="77777777" w:rsidTr="00B71CD0">
        <w:trPr>
          <w:trHeight w:val="391"/>
          <w:jc w:val="center"/>
        </w:trPr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6959949A" w14:textId="77777777" w:rsidR="004A7651" w:rsidRPr="00714269" w:rsidRDefault="004A7651" w:rsidP="00B71CD0">
            <w:pPr>
              <w:spacing w:line="276" w:lineRule="auto"/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  <w:t>Asistente de Tesorería</w:t>
            </w:r>
          </w:p>
        </w:tc>
        <w:tc>
          <w:tcPr>
            <w:tcW w:w="3639" w:type="dxa"/>
            <w:shd w:val="clear" w:color="auto" w:fill="auto"/>
            <w:noWrap/>
            <w:vAlign w:val="bottom"/>
            <w:hideMark/>
          </w:tcPr>
          <w:p w14:paraId="2CA6C604" w14:textId="77777777" w:rsidR="004A7651" w:rsidRPr="00714269" w:rsidRDefault="004A7651" w:rsidP="00B71CD0">
            <w:pPr>
              <w:spacing w:line="276" w:lineRule="auto"/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  <w:t>Consulta y alta de cuentas</w:t>
            </w:r>
          </w:p>
        </w:tc>
      </w:tr>
      <w:tr w:rsidR="00166952" w:rsidRPr="00714269" w14:paraId="1936786D" w14:textId="77777777" w:rsidTr="00B71CD0">
        <w:trPr>
          <w:trHeight w:val="391"/>
          <w:jc w:val="center"/>
        </w:trPr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5632372B" w14:textId="77777777" w:rsidR="004A7651" w:rsidRPr="00714269" w:rsidRDefault="004A7651" w:rsidP="00B71CD0">
            <w:pPr>
              <w:spacing w:line="276" w:lineRule="auto"/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  <w:t>Contadora General</w:t>
            </w:r>
          </w:p>
        </w:tc>
        <w:tc>
          <w:tcPr>
            <w:tcW w:w="3639" w:type="dxa"/>
            <w:shd w:val="clear" w:color="auto" w:fill="auto"/>
            <w:noWrap/>
            <w:vAlign w:val="bottom"/>
            <w:hideMark/>
          </w:tcPr>
          <w:p w14:paraId="5F7B5345" w14:textId="2A56322F" w:rsidR="004A7651" w:rsidRPr="00714269" w:rsidRDefault="00712C94" w:rsidP="00B71CD0">
            <w:pPr>
              <w:spacing w:line="276" w:lineRule="auto"/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  <w:t>Sección nómina e impuestos</w:t>
            </w:r>
          </w:p>
        </w:tc>
      </w:tr>
      <w:tr w:rsidR="00166952" w:rsidRPr="00714269" w14:paraId="34822B22" w14:textId="77777777" w:rsidTr="00B71CD0">
        <w:trPr>
          <w:trHeight w:val="391"/>
          <w:jc w:val="center"/>
        </w:trPr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59B6B8D3" w14:textId="77777777" w:rsidR="004A7651" w:rsidRPr="00714269" w:rsidRDefault="004A7651" w:rsidP="00B71CD0">
            <w:pPr>
              <w:spacing w:line="276" w:lineRule="auto"/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  <w:t>Asistente Contable</w:t>
            </w:r>
          </w:p>
        </w:tc>
        <w:tc>
          <w:tcPr>
            <w:tcW w:w="3639" w:type="dxa"/>
            <w:shd w:val="clear" w:color="auto" w:fill="auto"/>
            <w:noWrap/>
            <w:vAlign w:val="bottom"/>
            <w:hideMark/>
          </w:tcPr>
          <w:p w14:paraId="51DD5E94" w14:textId="093AD6EB" w:rsidR="004A7651" w:rsidRPr="00714269" w:rsidRDefault="00712C94" w:rsidP="00B71CD0">
            <w:pPr>
              <w:spacing w:line="276" w:lineRule="auto"/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  <w:t>Sección nómina e impuestos</w:t>
            </w:r>
          </w:p>
        </w:tc>
      </w:tr>
    </w:tbl>
    <w:p w14:paraId="32806F49" w14:textId="77777777" w:rsidR="004A7651" w:rsidRPr="00714269" w:rsidRDefault="004A7651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769665CA" w14:textId="3F5FFCE1" w:rsidR="00975371" w:rsidRPr="00714269" w:rsidRDefault="00975371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61F18F24" w14:textId="1CB427E1" w:rsidR="00AF2F4C" w:rsidRPr="00714269" w:rsidRDefault="003D306A" w:rsidP="00B71CD0">
      <w:pPr>
        <w:pStyle w:val="Prrafodelista"/>
        <w:numPr>
          <w:ilvl w:val="0"/>
          <w:numId w:val="26"/>
        </w:numPr>
        <w:jc w:val="both"/>
        <w:rPr>
          <w:rFonts w:ascii="Lato" w:hAnsi="Lato"/>
          <w:b/>
          <w:bCs/>
          <w:color w:val="595959" w:themeColor="text1" w:themeTint="A6"/>
          <w:lang w:val="es-ES"/>
        </w:rPr>
      </w:pPr>
      <w:r w:rsidRPr="00714269">
        <w:rPr>
          <w:rFonts w:ascii="Lato" w:hAnsi="Lato"/>
          <w:b/>
          <w:bCs/>
          <w:color w:val="595959" w:themeColor="text1" w:themeTint="A6"/>
          <w:lang w:val="es-ES"/>
        </w:rPr>
        <w:t>C</w:t>
      </w:r>
      <w:r w:rsidR="00E343A8" w:rsidRPr="00714269">
        <w:rPr>
          <w:rFonts w:ascii="Lato" w:hAnsi="Lato"/>
          <w:b/>
          <w:bCs/>
          <w:color w:val="595959" w:themeColor="text1" w:themeTint="A6"/>
          <w:lang w:val="es-ES"/>
        </w:rPr>
        <w:t>uentas de inversión</w:t>
      </w:r>
    </w:p>
    <w:tbl>
      <w:tblPr>
        <w:tblW w:w="7335" w:type="dxa"/>
        <w:jc w:val="center"/>
        <w:tblBorders>
          <w:top w:val="single" w:sz="4" w:space="0" w:color="7F7F7F"/>
          <w:bottom w:val="single" w:sz="4" w:space="0" w:color="7F7F7F"/>
          <w:insideH w:val="single" w:sz="4" w:space="0" w:color="7F7F7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3649"/>
      </w:tblGrid>
      <w:tr w:rsidR="00166952" w:rsidRPr="00714269" w14:paraId="1B738F71" w14:textId="77777777" w:rsidTr="00B71CD0">
        <w:trPr>
          <w:trHeight w:val="386"/>
          <w:jc w:val="center"/>
        </w:trPr>
        <w:tc>
          <w:tcPr>
            <w:tcW w:w="3686" w:type="dxa"/>
            <w:shd w:val="clear" w:color="auto" w:fill="D9D9D9" w:themeFill="background1" w:themeFillShade="D9"/>
            <w:vAlign w:val="center"/>
            <w:hideMark/>
          </w:tcPr>
          <w:p w14:paraId="4424B1A1" w14:textId="77777777" w:rsidR="00E343A8" w:rsidRPr="00714269" w:rsidRDefault="00E343A8" w:rsidP="00B71CD0">
            <w:pPr>
              <w:spacing w:line="276" w:lineRule="auto"/>
              <w:rPr>
                <w:rFonts w:ascii="Lato" w:eastAsia="Times New Roman" w:hAnsi="Lato" w:cs="Calibri"/>
                <w:b/>
                <w:bCs/>
                <w:color w:val="595959" w:themeColor="text1" w:themeTint="A6"/>
                <w:sz w:val="22"/>
                <w:szCs w:val="22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b/>
                <w:bCs/>
                <w:color w:val="595959" w:themeColor="text1" w:themeTint="A6"/>
                <w:sz w:val="22"/>
                <w:szCs w:val="22"/>
                <w:lang w:val="es-ES" w:eastAsia="es-MX"/>
              </w:rPr>
              <w:t>Puesto</w:t>
            </w:r>
          </w:p>
        </w:tc>
        <w:tc>
          <w:tcPr>
            <w:tcW w:w="3649" w:type="dxa"/>
            <w:shd w:val="clear" w:color="auto" w:fill="D9D9D9" w:themeFill="background1" w:themeFillShade="D9"/>
            <w:vAlign w:val="center"/>
            <w:hideMark/>
          </w:tcPr>
          <w:p w14:paraId="4EBF4980" w14:textId="77777777" w:rsidR="00E343A8" w:rsidRPr="00714269" w:rsidRDefault="00E343A8" w:rsidP="00B71CD0">
            <w:pPr>
              <w:spacing w:line="276" w:lineRule="auto"/>
              <w:rPr>
                <w:rFonts w:ascii="Lato" w:eastAsia="Times New Roman" w:hAnsi="Lato" w:cs="Calibri"/>
                <w:b/>
                <w:bCs/>
                <w:color w:val="595959" w:themeColor="text1" w:themeTint="A6"/>
                <w:sz w:val="22"/>
                <w:szCs w:val="22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b/>
                <w:bCs/>
                <w:color w:val="595959" w:themeColor="text1" w:themeTint="A6"/>
                <w:sz w:val="22"/>
                <w:szCs w:val="22"/>
                <w:lang w:val="es-ES" w:eastAsia="es-MX"/>
              </w:rPr>
              <w:t>Permiso</w:t>
            </w:r>
          </w:p>
        </w:tc>
      </w:tr>
      <w:tr w:rsidR="00166952" w:rsidRPr="00714269" w14:paraId="14E8BBFB" w14:textId="77777777" w:rsidTr="00B71CD0">
        <w:trPr>
          <w:trHeight w:val="386"/>
          <w:jc w:val="center"/>
        </w:trPr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3B5290A8" w14:textId="77777777" w:rsidR="00E343A8" w:rsidRPr="00714269" w:rsidRDefault="00E343A8" w:rsidP="00B71CD0">
            <w:pPr>
              <w:spacing w:line="276" w:lineRule="auto"/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  <w:t>Dirección de Finanzas</w:t>
            </w:r>
          </w:p>
        </w:tc>
        <w:tc>
          <w:tcPr>
            <w:tcW w:w="3649" w:type="dxa"/>
            <w:shd w:val="clear" w:color="auto" w:fill="auto"/>
            <w:noWrap/>
            <w:vAlign w:val="bottom"/>
            <w:hideMark/>
          </w:tcPr>
          <w:p w14:paraId="6984561E" w14:textId="77777777" w:rsidR="00E343A8" w:rsidRPr="00714269" w:rsidRDefault="00E343A8" w:rsidP="00B71CD0">
            <w:pPr>
              <w:spacing w:line="276" w:lineRule="auto"/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  <w:t>Consulta</w:t>
            </w:r>
          </w:p>
        </w:tc>
      </w:tr>
      <w:tr w:rsidR="00166952" w:rsidRPr="00714269" w14:paraId="756A8A10" w14:textId="77777777" w:rsidTr="00B71CD0">
        <w:trPr>
          <w:trHeight w:val="386"/>
          <w:jc w:val="center"/>
        </w:trPr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3F80420F" w14:textId="77777777" w:rsidR="00E343A8" w:rsidRPr="00714269" w:rsidRDefault="00E343A8" w:rsidP="00B71CD0">
            <w:pPr>
              <w:spacing w:line="276" w:lineRule="auto"/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  <w:t>Coordinadora de Tesorería</w:t>
            </w:r>
          </w:p>
        </w:tc>
        <w:tc>
          <w:tcPr>
            <w:tcW w:w="3649" w:type="dxa"/>
            <w:shd w:val="clear" w:color="auto" w:fill="auto"/>
            <w:noWrap/>
            <w:vAlign w:val="bottom"/>
            <w:hideMark/>
          </w:tcPr>
          <w:p w14:paraId="367303EE" w14:textId="77777777" w:rsidR="00E343A8" w:rsidRPr="00714269" w:rsidRDefault="00E343A8" w:rsidP="00B71CD0">
            <w:pPr>
              <w:spacing w:line="276" w:lineRule="auto"/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  <w:t>Consulta</w:t>
            </w:r>
          </w:p>
        </w:tc>
      </w:tr>
      <w:tr w:rsidR="00166952" w:rsidRPr="00714269" w14:paraId="107D5D79" w14:textId="77777777" w:rsidTr="00B71CD0">
        <w:trPr>
          <w:trHeight w:val="386"/>
          <w:jc w:val="center"/>
        </w:trPr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133F8864" w14:textId="77777777" w:rsidR="00E343A8" w:rsidRPr="00714269" w:rsidRDefault="00E343A8" w:rsidP="00B71CD0">
            <w:pPr>
              <w:spacing w:line="276" w:lineRule="auto"/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  <w:t>Asistente de Tesorería</w:t>
            </w:r>
          </w:p>
        </w:tc>
        <w:tc>
          <w:tcPr>
            <w:tcW w:w="3649" w:type="dxa"/>
            <w:shd w:val="clear" w:color="auto" w:fill="auto"/>
            <w:noWrap/>
            <w:vAlign w:val="bottom"/>
            <w:hideMark/>
          </w:tcPr>
          <w:p w14:paraId="0760327B" w14:textId="77777777" w:rsidR="00E343A8" w:rsidRPr="00714269" w:rsidRDefault="00E343A8" w:rsidP="00B71CD0">
            <w:pPr>
              <w:spacing w:line="276" w:lineRule="auto"/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  <w:t>Consulta</w:t>
            </w:r>
          </w:p>
        </w:tc>
      </w:tr>
      <w:tr w:rsidR="00166952" w:rsidRPr="00714269" w14:paraId="37C71F3E" w14:textId="77777777" w:rsidTr="00B71CD0">
        <w:trPr>
          <w:trHeight w:val="386"/>
          <w:jc w:val="center"/>
        </w:trPr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347794B1" w14:textId="77777777" w:rsidR="00E343A8" w:rsidRPr="00714269" w:rsidRDefault="00E343A8" w:rsidP="00B71CD0">
            <w:pPr>
              <w:spacing w:line="276" w:lineRule="auto"/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  <w:t>Contadora General</w:t>
            </w:r>
          </w:p>
        </w:tc>
        <w:tc>
          <w:tcPr>
            <w:tcW w:w="3649" w:type="dxa"/>
            <w:shd w:val="clear" w:color="auto" w:fill="auto"/>
            <w:noWrap/>
            <w:vAlign w:val="bottom"/>
            <w:hideMark/>
          </w:tcPr>
          <w:p w14:paraId="6A902ACE" w14:textId="77777777" w:rsidR="00E343A8" w:rsidRPr="00714269" w:rsidRDefault="00E343A8" w:rsidP="00B71CD0">
            <w:pPr>
              <w:spacing w:line="276" w:lineRule="auto"/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  <w:t>Consulta</w:t>
            </w:r>
          </w:p>
        </w:tc>
      </w:tr>
      <w:tr w:rsidR="00166952" w:rsidRPr="00714269" w14:paraId="62F72C01" w14:textId="77777777" w:rsidTr="00B71CD0">
        <w:trPr>
          <w:trHeight w:val="386"/>
          <w:jc w:val="center"/>
        </w:trPr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6D065168" w14:textId="77777777" w:rsidR="00E343A8" w:rsidRPr="00714269" w:rsidRDefault="00E343A8" w:rsidP="00B71CD0">
            <w:pPr>
              <w:spacing w:line="276" w:lineRule="auto"/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  <w:t>Asesor financiero (externo)</w:t>
            </w:r>
          </w:p>
        </w:tc>
        <w:tc>
          <w:tcPr>
            <w:tcW w:w="3649" w:type="dxa"/>
            <w:shd w:val="clear" w:color="auto" w:fill="auto"/>
            <w:noWrap/>
            <w:vAlign w:val="bottom"/>
            <w:hideMark/>
          </w:tcPr>
          <w:p w14:paraId="266DF25A" w14:textId="77777777" w:rsidR="00E343A8" w:rsidRPr="00714269" w:rsidRDefault="00E343A8" w:rsidP="00B71CD0">
            <w:pPr>
              <w:spacing w:line="276" w:lineRule="auto"/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22"/>
                <w:szCs w:val="22"/>
                <w:lang w:val="es-ES" w:eastAsia="es-MX"/>
              </w:rPr>
              <w:t>Consulta</w:t>
            </w:r>
          </w:p>
        </w:tc>
      </w:tr>
    </w:tbl>
    <w:p w14:paraId="15CCC9FA" w14:textId="77777777" w:rsidR="00E343A8" w:rsidRPr="00714269" w:rsidRDefault="00E343A8" w:rsidP="00B71CD0">
      <w:pPr>
        <w:jc w:val="both"/>
        <w:rPr>
          <w:rFonts w:ascii="Lato" w:hAnsi="Lato"/>
          <w:color w:val="595959" w:themeColor="text1" w:themeTint="A6"/>
          <w:lang w:val="es-ES"/>
        </w:rPr>
      </w:pPr>
    </w:p>
    <w:p w14:paraId="7B68B416" w14:textId="0CD888B1" w:rsidR="00E30E9D" w:rsidRPr="00714269" w:rsidRDefault="009B4AC5" w:rsidP="00473941">
      <w:pPr>
        <w:pStyle w:val="Prrafodelista"/>
        <w:numPr>
          <w:ilvl w:val="0"/>
          <w:numId w:val="24"/>
        </w:numPr>
        <w:rPr>
          <w:rFonts w:ascii="Lato" w:hAnsi="Lato"/>
          <w:b/>
          <w:color w:val="595959" w:themeColor="text1" w:themeTint="A6"/>
          <w:lang w:val="es-ES"/>
        </w:rPr>
      </w:pPr>
      <w:r w:rsidRPr="00714269">
        <w:rPr>
          <w:rFonts w:ascii="Lato" w:hAnsi="Lato"/>
          <w:b/>
          <w:color w:val="595959" w:themeColor="text1" w:themeTint="A6"/>
          <w:lang w:val="es-ES"/>
        </w:rPr>
        <w:t>Informe de la Dirección de Finanzas</w:t>
      </w:r>
    </w:p>
    <w:p w14:paraId="5AF96D8C" w14:textId="08B28B3C" w:rsidR="00E30E9D" w:rsidRPr="00714269" w:rsidRDefault="0017138B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L</w:t>
      </w:r>
      <w:r w:rsidR="00570F79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a DF confirma</w:t>
      </w: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a la DG sobre la correcta activación de cuenta bancaria derivada de un convenio marco con donan</w:t>
      </w:r>
      <w:r w:rsidR="00570F79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te; comparte </w:t>
      </w: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con el área de Conservación </w:t>
      </w:r>
      <w:r w:rsidR="009B4AC5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el número de cuenta; así como, el nombre de la institución bancaria.</w:t>
      </w:r>
    </w:p>
    <w:p w14:paraId="0BB944A4" w14:textId="5D8B0744" w:rsidR="009B4AC5" w:rsidRPr="00714269" w:rsidRDefault="009B4AC5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182CE157" w14:textId="3DF182AA" w:rsidR="00570F79" w:rsidRPr="00714269" w:rsidRDefault="009B4AC5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En caso de apertura por motivos diversos a un convenio con donante, la DF elabora un informe suscrito por el Director de Área de Finanzas y por la Coordinadora de Tesorería donde se </w:t>
      </w: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lastRenderedPageBreak/>
        <w:t>presente el detalle de los movimientos en bancos realizados; así como, e</w:t>
      </w:r>
      <w:r w:rsidR="006F5083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l saldo en bancos a la fecha del informe</w:t>
      </w: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. </w:t>
      </w:r>
      <w:r w:rsidR="000370C3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Este informe es presentado por la DF a la DG y al CI. La DG y Auditor</w:t>
      </w:r>
      <w:r w:rsidR="005D1DE0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a Interna</w:t>
      </w:r>
      <w:r w:rsidR="000370C3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presentan también este informe al Comité de Acompañamiento Institucional (CAI). </w:t>
      </w:r>
    </w:p>
    <w:p w14:paraId="461897C5" w14:textId="77777777" w:rsidR="00E646DC" w:rsidRPr="00714269" w:rsidRDefault="00E646DC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5501B67D" w14:textId="1E5FABBC" w:rsidR="00570F79" w:rsidRPr="00714269" w:rsidRDefault="006F5083" w:rsidP="00473941">
      <w:pPr>
        <w:pStyle w:val="Prrafodelista"/>
        <w:numPr>
          <w:ilvl w:val="0"/>
          <w:numId w:val="24"/>
        </w:numPr>
        <w:rPr>
          <w:rFonts w:ascii="Lato" w:hAnsi="Lato"/>
          <w:b/>
          <w:color w:val="595959" w:themeColor="text1" w:themeTint="A6"/>
          <w:lang w:val="es-ES"/>
        </w:rPr>
      </w:pPr>
      <w:r w:rsidRPr="00714269">
        <w:rPr>
          <w:rFonts w:ascii="Lato" w:hAnsi="Lato"/>
          <w:b/>
          <w:color w:val="595959" w:themeColor="text1" w:themeTint="A6"/>
          <w:lang w:val="es-ES"/>
        </w:rPr>
        <w:t>Auditoría E</w:t>
      </w:r>
      <w:r w:rsidR="009B4AC5" w:rsidRPr="00714269">
        <w:rPr>
          <w:rFonts w:ascii="Lato" w:hAnsi="Lato"/>
          <w:b/>
          <w:color w:val="595959" w:themeColor="text1" w:themeTint="A6"/>
          <w:lang w:val="es-ES"/>
        </w:rPr>
        <w:t>xterna</w:t>
      </w:r>
    </w:p>
    <w:p w14:paraId="58FBF4E9" w14:textId="53F3135C" w:rsidR="00570F79" w:rsidRPr="00714269" w:rsidRDefault="00570F79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FMCN, a través de la DG, convoca a firma de auditores externos para</w:t>
      </w:r>
      <w:r w:rsidR="001008C3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: i) realizar los procedimientos de auditoría específicos a la migración de recursos financieros y ii) emitir dictamen al respecto.</w:t>
      </w:r>
    </w:p>
    <w:p w14:paraId="6F8F4541" w14:textId="75DC66BB" w:rsidR="00E343A8" w:rsidRPr="00714269" w:rsidRDefault="00E343A8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235E06CD" w14:textId="0DE7CF31" w:rsidR="001008C3" w:rsidRPr="00714269" w:rsidRDefault="001008C3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En caso de observaciones o recomendaciones derivadas del dictamen de auditoría, la DF establecerá un plan de mejora para solventarlas. </w:t>
      </w:r>
    </w:p>
    <w:p w14:paraId="1E984F15" w14:textId="541E8A88" w:rsidR="00E343A8" w:rsidRPr="00714269" w:rsidRDefault="00E343A8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0EEC18F9" w14:textId="77777777" w:rsidR="005C6314" w:rsidRPr="00714269" w:rsidRDefault="005C6314" w:rsidP="00B71CD0">
      <w:pPr>
        <w:spacing w:line="276" w:lineRule="auto"/>
        <w:jc w:val="both"/>
        <w:rPr>
          <w:rFonts w:ascii="Lato" w:hAnsi="Lato"/>
          <w:b/>
          <w:color w:val="595959" w:themeColor="text1" w:themeTint="A6"/>
          <w:sz w:val="22"/>
          <w:szCs w:val="22"/>
          <w:lang w:val="es-ES"/>
        </w:rPr>
      </w:pPr>
    </w:p>
    <w:p w14:paraId="6BB9113F" w14:textId="4259555C" w:rsidR="001008C3" w:rsidRPr="00714269" w:rsidRDefault="00473941" w:rsidP="00473941">
      <w:pPr>
        <w:spacing w:line="276" w:lineRule="auto"/>
        <w:rPr>
          <w:rFonts w:ascii="Lato" w:hAnsi="Lato"/>
          <w:b/>
          <w:color w:val="595959" w:themeColor="text1" w:themeTint="A6"/>
          <w:sz w:val="22"/>
          <w:szCs w:val="22"/>
          <w:lang w:val="es-ES"/>
        </w:rPr>
      </w:pPr>
      <w:r w:rsidRPr="00714269">
        <w:rPr>
          <w:rFonts w:ascii="Lato" w:hAnsi="Lato"/>
          <w:b/>
          <w:color w:val="595959" w:themeColor="text1" w:themeTint="A6"/>
          <w:sz w:val="22"/>
          <w:szCs w:val="22"/>
          <w:lang w:val="es-ES"/>
        </w:rPr>
        <w:t>4</w:t>
      </w:r>
      <w:r w:rsidR="005C6314" w:rsidRPr="00714269">
        <w:rPr>
          <w:rFonts w:ascii="Lato" w:hAnsi="Lato"/>
          <w:b/>
          <w:color w:val="595959" w:themeColor="text1" w:themeTint="A6"/>
          <w:sz w:val="22"/>
          <w:szCs w:val="22"/>
          <w:lang w:val="es-ES"/>
        </w:rPr>
        <w:t>. PROCEDIMIENTO PARA LA CANCELACIÓN DE CUENTA BANCARIA</w:t>
      </w:r>
    </w:p>
    <w:p w14:paraId="0B60614F" w14:textId="0B81DC75" w:rsidR="001008C3" w:rsidRPr="00714269" w:rsidRDefault="001008C3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5847A979" w14:textId="4BF40EDF" w:rsidR="001008C3" w:rsidRPr="00714269" w:rsidRDefault="001008C3" w:rsidP="00473941">
      <w:pPr>
        <w:pStyle w:val="Prrafodelista"/>
        <w:numPr>
          <w:ilvl w:val="0"/>
          <w:numId w:val="27"/>
        </w:numPr>
        <w:rPr>
          <w:rFonts w:ascii="Lato" w:hAnsi="Lato"/>
          <w:b/>
          <w:color w:val="595959" w:themeColor="text1" w:themeTint="A6"/>
          <w:lang w:val="es-ES"/>
        </w:rPr>
      </w:pPr>
      <w:r w:rsidRPr="00714269">
        <w:rPr>
          <w:rFonts w:ascii="Lato" w:hAnsi="Lato"/>
          <w:b/>
          <w:color w:val="595959" w:themeColor="text1" w:themeTint="A6"/>
          <w:lang w:val="es-ES"/>
        </w:rPr>
        <w:t>Cancelación de cuenta bancaria</w:t>
      </w:r>
    </w:p>
    <w:p w14:paraId="6CEB6B7B" w14:textId="77777777" w:rsidR="00473941" w:rsidRPr="00714269" w:rsidRDefault="00473941" w:rsidP="00473941">
      <w:pPr>
        <w:pStyle w:val="Prrafodelista"/>
        <w:rPr>
          <w:rFonts w:ascii="Lato" w:hAnsi="Lato"/>
          <w:b/>
          <w:color w:val="595959" w:themeColor="text1" w:themeTint="A6"/>
          <w:lang w:val="es-ES"/>
        </w:rPr>
      </w:pPr>
    </w:p>
    <w:p w14:paraId="4B746CEE" w14:textId="36BADC8E" w:rsidR="00D24AD3" w:rsidRPr="00714269" w:rsidRDefault="00D24AD3" w:rsidP="00B71CD0">
      <w:pPr>
        <w:pStyle w:val="Prrafodelista"/>
        <w:numPr>
          <w:ilvl w:val="0"/>
          <w:numId w:val="28"/>
        </w:numPr>
        <w:jc w:val="both"/>
        <w:rPr>
          <w:rFonts w:ascii="Lato" w:hAnsi="Lato"/>
          <w:b/>
          <w:bCs/>
          <w:color w:val="595959" w:themeColor="text1" w:themeTint="A6"/>
          <w:lang w:val="es-ES"/>
        </w:rPr>
      </w:pPr>
      <w:r w:rsidRPr="00714269">
        <w:rPr>
          <w:rFonts w:ascii="Lato" w:hAnsi="Lato"/>
          <w:b/>
          <w:bCs/>
          <w:color w:val="595959" w:themeColor="text1" w:themeTint="A6"/>
          <w:lang w:val="es-ES"/>
        </w:rPr>
        <w:t xml:space="preserve">Convenio con donante </w:t>
      </w:r>
    </w:p>
    <w:p w14:paraId="5E2FFE59" w14:textId="3B95CA77" w:rsidR="001008C3" w:rsidRPr="00714269" w:rsidRDefault="001008C3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La DF elabora</w:t>
      </w:r>
      <w:r w:rsidR="00E646DC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un</w:t>
      </w: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escrito a </w:t>
      </w:r>
      <w:r w:rsidR="00D24AD3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la DG para notificar </w:t>
      </w: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la cancelación de cuenta bancaria </w:t>
      </w:r>
      <w:r w:rsidR="00CA3116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derivada de la conclusión de proyecto y/o compromiso con donante</w:t>
      </w:r>
      <w:r w:rsidR="00D24AD3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;</w:t>
      </w:r>
      <w:r w:rsidR="00CA3116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</w:t>
      </w:r>
      <w:r w:rsidR="00D24AD3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confirma, en caso de existir saldo en la cuenta exclusiva del donante, la fecha y monto de la transferencia de recursos a la cuenta concentradora de FMCN.</w:t>
      </w:r>
    </w:p>
    <w:p w14:paraId="4A54252E" w14:textId="6EF8FDE8" w:rsidR="00D24AD3" w:rsidRPr="00714269" w:rsidRDefault="00D24AD3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7D0650CB" w14:textId="34BF006F" w:rsidR="00D24AD3" w:rsidRPr="00714269" w:rsidRDefault="00D24AD3" w:rsidP="00B71CD0">
      <w:pPr>
        <w:pStyle w:val="Prrafodelista"/>
        <w:numPr>
          <w:ilvl w:val="0"/>
          <w:numId w:val="28"/>
        </w:numPr>
        <w:jc w:val="both"/>
        <w:rPr>
          <w:rFonts w:ascii="Lato" w:hAnsi="Lato"/>
          <w:b/>
          <w:bCs/>
          <w:color w:val="595959" w:themeColor="text1" w:themeTint="A6"/>
          <w:lang w:val="es-ES"/>
        </w:rPr>
      </w:pPr>
      <w:r w:rsidRPr="00714269">
        <w:rPr>
          <w:rFonts w:ascii="Lato" w:hAnsi="Lato"/>
          <w:b/>
          <w:bCs/>
          <w:color w:val="595959" w:themeColor="text1" w:themeTint="A6"/>
          <w:lang w:val="es-ES"/>
        </w:rPr>
        <w:t xml:space="preserve">Contexto </w:t>
      </w:r>
      <w:r w:rsidR="00E646DC" w:rsidRPr="00714269">
        <w:rPr>
          <w:rFonts w:ascii="Lato" w:hAnsi="Lato"/>
          <w:b/>
          <w:bCs/>
          <w:color w:val="595959" w:themeColor="text1" w:themeTint="A6"/>
          <w:lang w:val="es-ES"/>
        </w:rPr>
        <w:t>distinto a un convenio con donante</w:t>
      </w:r>
      <w:r w:rsidRPr="00714269">
        <w:rPr>
          <w:rFonts w:ascii="Lato" w:hAnsi="Lato"/>
          <w:b/>
          <w:bCs/>
          <w:color w:val="595959" w:themeColor="text1" w:themeTint="A6"/>
          <w:lang w:val="es-ES"/>
        </w:rPr>
        <w:t xml:space="preserve"> </w:t>
      </w:r>
    </w:p>
    <w:p w14:paraId="071207AE" w14:textId="7CE03D8E" w:rsidR="00D24AD3" w:rsidRPr="00714269" w:rsidRDefault="00D24AD3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Cuando el contexto demanda acción institucional</w:t>
      </w:r>
      <w:r w:rsidR="00E646DC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,</w:t>
      </w: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la DF elabora</w:t>
      </w:r>
      <w:r w:rsidR="006F5083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plan de acción</w:t>
      </w: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para presentar ante el CI, ya sea en sesión ordinaria o extraordinaria, con la siguiente información: i) los motivos financieros para la cancelación de cuenta bancaria, ii) el monto</w:t>
      </w:r>
      <w:r w:rsidR="006F5083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de</w:t>
      </w: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</w:t>
      </w:r>
      <w:r w:rsidR="006F5083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la </w:t>
      </w: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transferencia</w:t>
      </w:r>
      <w:r w:rsidR="006F5083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de saldo (detalle sobre la migración de recursos: cuenta origen y cuenta destino).</w:t>
      </w:r>
      <w:r w:rsidR="000370C3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La DG informa al CAI al respecto. </w:t>
      </w:r>
    </w:p>
    <w:p w14:paraId="28FBAB02" w14:textId="226724C3" w:rsidR="001008C3" w:rsidRPr="00714269" w:rsidRDefault="001008C3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2C246540" w14:textId="52795E89" w:rsidR="00D24AD3" w:rsidRPr="00714269" w:rsidRDefault="00D24AD3" w:rsidP="00B71CD0">
      <w:pPr>
        <w:pStyle w:val="Prrafodelista"/>
        <w:numPr>
          <w:ilvl w:val="0"/>
          <w:numId w:val="27"/>
        </w:numPr>
        <w:rPr>
          <w:rFonts w:ascii="Lato" w:hAnsi="Lato"/>
          <w:b/>
          <w:color w:val="595959" w:themeColor="text1" w:themeTint="A6"/>
          <w:lang w:val="es-ES"/>
        </w:rPr>
      </w:pPr>
      <w:r w:rsidRPr="00714269">
        <w:rPr>
          <w:rFonts w:ascii="Lato" w:hAnsi="Lato"/>
          <w:b/>
          <w:color w:val="595959" w:themeColor="text1" w:themeTint="A6"/>
          <w:lang w:val="es-ES"/>
        </w:rPr>
        <w:t>Autorización de cancelación de cuenta bancaria</w:t>
      </w:r>
    </w:p>
    <w:p w14:paraId="0B4D198D" w14:textId="3F4C5A2B" w:rsidR="00D24AD3" w:rsidRPr="00714269" w:rsidRDefault="00D24AD3" w:rsidP="00B71CD0">
      <w:pPr>
        <w:spacing w:line="276" w:lineRule="auto"/>
        <w:rPr>
          <w:rFonts w:ascii="Lato" w:hAnsi="Lato"/>
          <w:color w:val="595959" w:themeColor="text1" w:themeTint="A6"/>
          <w:sz w:val="22"/>
          <w:szCs w:val="22"/>
          <w:lang w:val="es-ES"/>
        </w:rPr>
      </w:pP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Los órganos facultados para autorizar la cancelación de cuentas bancarias son:</w:t>
      </w:r>
    </w:p>
    <w:p w14:paraId="27D9ECC6" w14:textId="77777777" w:rsidR="00D24AD3" w:rsidRPr="00714269" w:rsidRDefault="00D24AD3" w:rsidP="00B71CD0">
      <w:pPr>
        <w:spacing w:line="276" w:lineRule="auto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6E5D2465" w14:textId="308CC554" w:rsidR="00D24AD3" w:rsidRPr="00714269" w:rsidRDefault="00D24AD3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La DG autoriza la cancelación de cuenta bancaria cuando se origina de la conclusión de un proyecto y/o convenio marco con donante. </w:t>
      </w:r>
    </w:p>
    <w:p w14:paraId="064A26F0" w14:textId="77777777" w:rsidR="00D24AD3" w:rsidRPr="00714269" w:rsidRDefault="00D24AD3" w:rsidP="00B71CD0">
      <w:pPr>
        <w:spacing w:line="276" w:lineRule="auto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65C47C8F" w14:textId="222469CF" w:rsidR="00D24AD3" w:rsidRPr="00714269" w:rsidRDefault="00D24AD3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lastRenderedPageBreak/>
        <w:t>El CI emite autorización, observaciones y recomendaciones al plan de acción referente a la cancelación de cuenta bancaria por razones distintas a un convenio con donante.</w:t>
      </w:r>
      <w:r w:rsidR="00E646DC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La DG autoriza la cancelación de las cuentas bancarias dentro del plan.</w:t>
      </w:r>
    </w:p>
    <w:p w14:paraId="6ED66657" w14:textId="32211962" w:rsidR="001008C3" w:rsidRPr="00714269" w:rsidRDefault="001008C3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722B5950" w14:textId="0742F0EF" w:rsidR="005F6EC7" w:rsidRPr="00714269" w:rsidRDefault="005F6EC7" w:rsidP="00B71CD0">
      <w:pPr>
        <w:pStyle w:val="Prrafodelista"/>
        <w:numPr>
          <w:ilvl w:val="0"/>
          <w:numId w:val="27"/>
        </w:numPr>
        <w:rPr>
          <w:rFonts w:ascii="Lato" w:hAnsi="Lato"/>
          <w:b/>
          <w:color w:val="595959" w:themeColor="text1" w:themeTint="A6"/>
          <w:lang w:val="es-ES"/>
        </w:rPr>
      </w:pPr>
      <w:r w:rsidRPr="00714269">
        <w:rPr>
          <w:rFonts w:ascii="Lato" w:hAnsi="Lato"/>
          <w:b/>
          <w:color w:val="595959" w:themeColor="text1" w:themeTint="A6"/>
          <w:lang w:val="es-ES"/>
        </w:rPr>
        <w:t>Formalización de cancelación de cuenta bancaria</w:t>
      </w:r>
    </w:p>
    <w:p w14:paraId="040E42AF" w14:textId="79E2E7F0" w:rsidR="005F6EC7" w:rsidRPr="00714269" w:rsidRDefault="005F6EC7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Una vez atendidas las observaciones y recomendaciones del CI; así como de contar con la autorización de DG y CI respectivamente, la DF con el apoyo de la Coordinadora de Tesorería inicia el trámite de cancelación de cuenta bancaria en la institución financiera.</w:t>
      </w:r>
    </w:p>
    <w:p w14:paraId="152B2E6D" w14:textId="77777777" w:rsidR="006F5083" w:rsidRPr="00714269" w:rsidRDefault="006F5083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4C86255C" w14:textId="1A039C51" w:rsidR="005F6EC7" w:rsidRPr="00714269" w:rsidRDefault="005F6EC7" w:rsidP="00B71CD0">
      <w:pPr>
        <w:pStyle w:val="Prrafodelista"/>
        <w:numPr>
          <w:ilvl w:val="0"/>
          <w:numId w:val="29"/>
        </w:numPr>
        <w:jc w:val="both"/>
        <w:rPr>
          <w:rFonts w:ascii="Lato" w:hAnsi="Lato"/>
          <w:b/>
          <w:bCs/>
          <w:color w:val="595959" w:themeColor="text1" w:themeTint="A6"/>
          <w:lang w:val="es-ES"/>
        </w:rPr>
      </w:pPr>
      <w:r w:rsidRPr="00714269">
        <w:rPr>
          <w:rFonts w:ascii="Lato" w:hAnsi="Lato"/>
          <w:b/>
          <w:bCs/>
          <w:color w:val="595959" w:themeColor="text1" w:themeTint="A6"/>
          <w:lang w:val="es-ES"/>
        </w:rPr>
        <w:t xml:space="preserve">Convenio con donante </w:t>
      </w:r>
    </w:p>
    <w:p w14:paraId="6E66ABC1" w14:textId="3FAC09BD" w:rsidR="005F6EC7" w:rsidRPr="00714269" w:rsidRDefault="005F6EC7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La DF realiza transferencia del saldo final de cuenta exclusiva con donante a cuenta concentradora de FMCN</w:t>
      </w:r>
      <w:r w:rsidR="00E646DC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e informa a la DG al respecto</w:t>
      </w: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.</w:t>
      </w:r>
    </w:p>
    <w:p w14:paraId="47558CC7" w14:textId="77777777" w:rsidR="005F6EC7" w:rsidRPr="00714269" w:rsidRDefault="005F6EC7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7C6DEB51" w14:textId="501367D7" w:rsidR="005F6EC7" w:rsidRPr="00714269" w:rsidRDefault="005F6EC7" w:rsidP="00B71CD0">
      <w:pPr>
        <w:pStyle w:val="Prrafodelista"/>
        <w:numPr>
          <w:ilvl w:val="0"/>
          <w:numId w:val="29"/>
        </w:numPr>
        <w:jc w:val="both"/>
        <w:rPr>
          <w:rFonts w:ascii="Lato" w:hAnsi="Lato"/>
          <w:b/>
          <w:bCs/>
          <w:color w:val="595959" w:themeColor="text1" w:themeTint="A6"/>
          <w:lang w:val="es-ES"/>
        </w:rPr>
      </w:pPr>
      <w:r w:rsidRPr="00714269">
        <w:rPr>
          <w:rFonts w:ascii="Lato" w:hAnsi="Lato"/>
          <w:b/>
          <w:bCs/>
          <w:color w:val="595959" w:themeColor="text1" w:themeTint="A6"/>
          <w:lang w:val="es-ES"/>
        </w:rPr>
        <w:t xml:space="preserve">Contexto político y económico </w:t>
      </w:r>
    </w:p>
    <w:p w14:paraId="33582EE1" w14:textId="74FF59EB" w:rsidR="005F6EC7" w:rsidRPr="00714269" w:rsidRDefault="005F6EC7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La DF realiza la migración de recursos con base en el plan de acción autorizado por el CI</w:t>
      </w:r>
      <w:r w:rsidR="00E646DC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y mantiene a la DG informada. </w:t>
      </w:r>
    </w:p>
    <w:p w14:paraId="74213AD9" w14:textId="39DB8CB2" w:rsidR="005F6EC7" w:rsidRPr="00714269" w:rsidRDefault="005F6EC7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5AB125E8" w14:textId="414A2DCA" w:rsidR="005F6EC7" w:rsidRPr="00714269" w:rsidRDefault="005F6EC7" w:rsidP="00473941">
      <w:pPr>
        <w:pStyle w:val="Prrafodelista"/>
        <w:numPr>
          <w:ilvl w:val="0"/>
          <w:numId w:val="27"/>
        </w:numPr>
        <w:rPr>
          <w:rFonts w:ascii="Lato" w:hAnsi="Lato"/>
          <w:b/>
          <w:color w:val="595959" w:themeColor="text1" w:themeTint="A6"/>
          <w:lang w:val="es-ES"/>
        </w:rPr>
      </w:pPr>
      <w:r w:rsidRPr="00714269">
        <w:rPr>
          <w:rFonts w:ascii="Lato" w:hAnsi="Lato"/>
          <w:b/>
          <w:color w:val="595959" w:themeColor="text1" w:themeTint="A6"/>
          <w:lang w:val="es-ES"/>
        </w:rPr>
        <w:t>Informe de la Dirección de Finanzas</w:t>
      </w:r>
    </w:p>
    <w:p w14:paraId="0BEADF4D" w14:textId="37F7FE77" w:rsidR="005F6EC7" w:rsidRPr="00714269" w:rsidRDefault="005F6EC7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La DF confirma a la DG sobre la correcta cancelación de cuenta bancaria derivada de un convenio marco con donante; comparte comprobante de transferencia, en caso de existir saldo en la cuenta exclusiva del donante, de la transferencia de recursos a la cuenta concentradora de FMCN.</w:t>
      </w:r>
    </w:p>
    <w:p w14:paraId="26979A28" w14:textId="0D20C894" w:rsidR="005F6EC7" w:rsidRPr="00714269" w:rsidRDefault="005F6EC7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2101C5E0" w14:textId="66F6E91B" w:rsidR="005F6EC7" w:rsidRPr="00714269" w:rsidRDefault="005F6EC7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En caso de cancelación por motivos diversos a un convenio con donante, la DF elabora un informe suscrito por el Director de Área de Finanzas y por la Coordinadora de Tesorería donde se presente el detalle de los movimientos en bancos realizados; así como, e</w:t>
      </w:r>
      <w:r w:rsidR="006F5083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l saldo en bancos a la fecha del informe.</w:t>
      </w: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</w:t>
      </w:r>
      <w:r w:rsidR="00E646DC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Este inform</w:t>
      </w:r>
      <w:r w:rsidR="000370C3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e</w:t>
      </w:r>
      <w:r w:rsidR="00E646DC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es presentado por la DF a la DG y al CI</w:t>
      </w:r>
      <w:r w:rsidR="000370C3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. La DG y Auditor</w:t>
      </w:r>
      <w:r w:rsidR="006D0229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a Interna</w:t>
      </w:r>
      <w:r w:rsidR="000370C3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presentan también este informe al CAI</w:t>
      </w:r>
      <w:r w:rsidR="00E646DC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. </w:t>
      </w:r>
    </w:p>
    <w:p w14:paraId="36B157DD" w14:textId="77777777" w:rsidR="005F6EC7" w:rsidRPr="00714269" w:rsidRDefault="005F6EC7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3863705D" w14:textId="374BD699" w:rsidR="00257312" w:rsidRPr="00714269" w:rsidRDefault="00257312" w:rsidP="00473941">
      <w:pPr>
        <w:pStyle w:val="Prrafodelista"/>
        <w:numPr>
          <w:ilvl w:val="0"/>
          <w:numId w:val="27"/>
        </w:numPr>
        <w:rPr>
          <w:rFonts w:ascii="Lato" w:hAnsi="Lato"/>
          <w:b/>
          <w:color w:val="595959" w:themeColor="text1" w:themeTint="A6"/>
          <w:lang w:val="es-ES"/>
        </w:rPr>
      </w:pPr>
      <w:r w:rsidRPr="00714269">
        <w:rPr>
          <w:rFonts w:ascii="Lato" w:hAnsi="Lato"/>
          <w:b/>
          <w:color w:val="595959" w:themeColor="text1" w:themeTint="A6"/>
          <w:lang w:val="es-ES"/>
        </w:rPr>
        <w:t>Auditoría externa</w:t>
      </w:r>
    </w:p>
    <w:p w14:paraId="59DA60AC" w14:textId="147481A7" w:rsidR="00257312" w:rsidRPr="00714269" w:rsidRDefault="006F5083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En caso de cancelación por motivos diversos a un convenio con donante, </w:t>
      </w:r>
      <w:r w:rsidR="00257312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FMCN, a través de la DG, convoca a firma de auditores externos para: i) realizar los procedimientos de auditoría específicos a la migración de recursos financieros y ii) emitir </w:t>
      </w:r>
      <w:r w:rsidR="000304CF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un </w:t>
      </w:r>
      <w:r w:rsidR="00257312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dictamen al respecto.</w:t>
      </w:r>
    </w:p>
    <w:p w14:paraId="29BB8BDD" w14:textId="77777777" w:rsidR="00257312" w:rsidRPr="00714269" w:rsidRDefault="00257312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307FBFAB" w14:textId="4FF2AC7B" w:rsidR="005C6314" w:rsidRDefault="00257312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En caso de observaciones o recomendaciones derivadas del dictamen de auditoría, la DF </w:t>
      </w:r>
      <w:r w:rsidR="005D1DE0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establecerá</w:t>
      </w:r>
      <w:r w:rsidR="000370C3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un</w:t>
      </w: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</w:t>
      </w:r>
      <w:r w:rsidR="006F5083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>plan de mejora</w:t>
      </w:r>
      <w:r w:rsidR="005D1DE0"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 para solventarlas</w:t>
      </w:r>
      <w:r w:rsidRPr="00714269">
        <w:rPr>
          <w:rFonts w:ascii="Lato" w:hAnsi="Lato"/>
          <w:color w:val="595959" w:themeColor="text1" w:themeTint="A6"/>
          <w:sz w:val="22"/>
          <w:szCs w:val="22"/>
          <w:lang w:val="es-ES"/>
        </w:rPr>
        <w:t xml:space="preserve">. </w:t>
      </w:r>
    </w:p>
    <w:p w14:paraId="2BCFC858" w14:textId="77777777" w:rsidR="004C308D" w:rsidRPr="00714269" w:rsidRDefault="004C308D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1FABFB38" w14:textId="13C98199" w:rsidR="00E343A8" w:rsidRPr="00714269" w:rsidRDefault="005C6314" w:rsidP="00B71CD0">
      <w:pPr>
        <w:spacing w:line="276" w:lineRule="auto"/>
        <w:jc w:val="both"/>
        <w:rPr>
          <w:rFonts w:ascii="Lato" w:hAnsi="Lato"/>
          <w:b/>
          <w:color w:val="595959" w:themeColor="text1" w:themeTint="A6"/>
          <w:sz w:val="22"/>
          <w:szCs w:val="22"/>
          <w:lang w:val="es-ES"/>
        </w:rPr>
      </w:pPr>
      <w:r w:rsidRPr="00714269">
        <w:rPr>
          <w:rFonts w:ascii="Lato" w:hAnsi="Lato"/>
          <w:b/>
          <w:color w:val="595959" w:themeColor="text1" w:themeTint="A6"/>
          <w:sz w:val="22"/>
          <w:szCs w:val="22"/>
          <w:lang w:val="es-ES"/>
        </w:rPr>
        <w:lastRenderedPageBreak/>
        <w:t>5. DIAGRAMA DE FLUJO</w:t>
      </w:r>
    </w:p>
    <w:p w14:paraId="28307907" w14:textId="669FB88A" w:rsidR="00E343A8" w:rsidRPr="00714269" w:rsidRDefault="00E343A8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18776C6A" w14:textId="46E72DB6" w:rsidR="00E343A8" w:rsidRPr="00714269" w:rsidRDefault="006D0229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  <w:r w:rsidRPr="00714269">
        <w:rPr>
          <w:rFonts w:ascii="Lato" w:hAnsi="Lato"/>
          <w:noProof/>
          <w:color w:val="595959" w:themeColor="text1" w:themeTint="A6"/>
          <w:sz w:val="22"/>
          <w:szCs w:val="22"/>
          <w:lang w:eastAsia="es-MX"/>
        </w:rPr>
        <w:drawing>
          <wp:inline distT="0" distB="0" distL="0" distR="0" wp14:anchorId="3A830F1C" wp14:editId="4B3BDCB3">
            <wp:extent cx="5612130" cy="6890390"/>
            <wp:effectExtent l="0" t="0" r="7620" b="571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689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D9663B" w14:textId="542390C5" w:rsidR="00E343A8" w:rsidRPr="00714269" w:rsidRDefault="00E343A8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7375B34D" w14:textId="26C0F2EB" w:rsidR="00257312" w:rsidRPr="00714269" w:rsidRDefault="00257312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533E02A0" w14:textId="0CF79D07" w:rsidR="00257312" w:rsidRPr="00714269" w:rsidRDefault="00257312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124FD469" w14:textId="65FA3057" w:rsidR="00257312" w:rsidRPr="00714269" w:rsidRDefault="00257312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2B6BF22F" w14:textId="7976B8B6" w:rsidR="00257312" w:rsidRPr="00714269" w:rsidRDefault="006D0229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  <w:r w:rsidRPr="00714269">
        <w:rPr>
          <w:rFonts w:ascii="Lato" w:hAnsi="Lato"/>
          <w:noProof/>
          <w:color w:val="595959" w:themeColor="text1" w:themeTint="A6"/>
          <w:sz w:val="22"/>
          <w:szCs w:val="22"/>
          <w:lang w:eastAsia="es-MX"/>
        </w:rPr>
        <w:drawing>
          <wp:inline distT="0" distB="0" distL="0" distR="0" wp14:anchorId="42A61D4E" wp14:editId="7EE285C1">
            <wp:extent cx="5612130" cy="6890390"/>
            <wp:effectExtent l="0" t="0" r="7620" b="571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689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527F3D" w14:textId="77777777" w:rsidR="00E343A8" w:rsidRPr="00714269" w:rsidRDefault="00E343A8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6A9C5F1A" w14:textId="660F03D7" w:rsidR="00300AFA" w:rsidRDefault="00300AFA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69132BCA" w14:textId="1F83D8AC" w:rsidR="00714269" w:rsidRDefault="00714269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201C14BB" w14:textId="77777777" w:rsidR="00714269" w:rsidRPr="00714269" w:rsidRDefault="00714269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7D73E0AE" w14:textId="231BC723" w:rsidR="00A54ACF" w:rsidRPr="00714269" w:rsidRDefault="00B62564" w:rsidP="00B71CD0">
      <w:pPr>
        <w:spacing w:line="276" w:lineRule="auto"/>
        <w:jc w:val="center"/>
        <w:rPr>
          <w:rFonts w:ascii="Lato" w:hAnsi="Lato"/>
          <w:b/>
          <w:color w:val="595959" w:themeColor="text1" w:themeTint="A6"/>
          <w:sz w:val="22"/>
          <w:szCs w:val="22"/>
          <w:lang w:val="es-ES"/>
        </w:rPr>
      </w:pPr>
      <w:r w:rsidRPr="00714269">
        <w:rPr>
          <w:rFonts w:ascii="Lato" w:hAnsi="Lato"/>
          <w:b/>
          <w:color w:val="595959" w:themeColor="text1" w:themeTint="A6"/>
          <w:sz w:val="22"/>
          <w:szCs w:val="22"/>
          <w:lang w:val="es-ES"/>
        </w:rPr>
        <w:lastRenderedPageBreak/>
        <w:t>ANEXO I. DOCUMENTOS PARA APERTURA DE CUENTAS BANCARIAS</w:t>
      </w:r>
    </w:p>
    <w:p w14:paraId="06FC4659" w14:textId="17236FDE" w:rsidR="00300AFA" w:rsidRPr="00714269" w:rsidRDefault="00300AFA" w:rsidP="00B71CD0">
      <w:pPr>
        <w:spacing w:line="276" w:lineRule="auto"/>
        <w:jc w:val="center"/>
        <w:rPr>
          <w:rFonts w:ascii="Lato" w:hAnsi="Lato"/>
          <w:b/>
          <w:color w:val="595959" w:themeColor="text1" w:themeTint="A6"/>
          <w:sz w:val="22"/>
          <w:szCs w:val="22"/>
          <w:lang w:val="es-ES"/>
        </w:rPr>
      </w:pPr>
    </w:p>
    <w:p w14:paraId="45875F94" w14:textId="394BAD47" w:rsidR="00300AFA" w:rsidRPr="00714269" w:rsidRDefault="00300AFA" w:rsidP="00B71CD0">
      <w:pPr>
        <w:spacing w:line="276" w:lineRule="auto"/>
        <w:jc w:val="both"/>
        <w:rPr>
          <w:rFonts w:ascii="Lato" w:hAnsi="Lato"/>
          <w:b/>
          <w:color w:val="595959" w:themeColor="text1" w:themeTint="A6"/>
          <w:sz w:val="22"/>
          <w:szCs w:val="22"/>
          <w:lang w:val="es-ES"/>
        </w:rPr>
      </w:pPr>
      <w:r w:rsidRPr="00714269">
        <w:rPr>
          <w:rFonts w:ascii="Lato" w:hAnsi="Lato"/>
          <w:b/>
          <w:color w:val="595959" w:themeColor="text1" w:themeTint="A6"/>
          <w:sz w:val="22"/>
          <w:szCs w:val="22"/>
          <w:lang w:val="es-ES"/>
        </w:rPr>
        <w:t>A1. Documentación para la apertura de cuentas de inversión – custodia en EUA</w:t>
      </w:r>
    </w:p>
    <w:p w14:paraId="27435E47" w14:textId="5994C8D1" w:rsidR="00DC4B0B" w:rsidRPr="00714269" w:rsidRDefault="00DC4B0B" w:rsidP="00B71CD0">
      <w:pPr>
        <w:spacing w:line="276" w:lineRule="auto"/>
        <w:jc w:val="both"/>
        <w:rPr>
          <w:rFonts w:ascii="Lato" w:hAnsi="Lato"/>
          <w:i/>
          <w:color w:val="595959" w:themeColor="text1" w:themeTint="A6"/>
          <w:sz w:val="18"/>
          <w:szCs w:val="22"/>
          <w:lang w:val="es-ES"/>
        </w:rPr>
      </w:pPr>
      <w:r w:rsidRPr="00714269">
        <w:rPr>
          <w:rFonts w:ascii="Lato" w:hAnsi="Lato"/>
          <w:i/>
          <w:color w:val="595959" w:themeColor="text1" w:themeTint="A6"/>
          <w:sz w:val="18"/>
          <w:szCs w:val="22"/>
          <w:lang w:val="es-ES"/>
        </w:rPr>
        <w:t>Nota 1. Al 18 de agosto de 2021, el custodio en EUA de FMCN es J.P.Morgan</w:t>
      </w:r>
      <w:r w:rsidR="004C308D">
        <w:rPr>
          <w:rFonts w:ascii="Lato" w:hAnsi="Lato"/>
          <w:i/>
          <w:color w:val="595959" w:themeColor="text1" w:themeTint="A6"/>
          <w:sz w:val="18"/>
          <w:szCs w:val="22"/>
          <w:lang w:val="es-ES"/>
        </w:rPr>
        <w:t>.</w:t>
      </w:r>
    </w:p>
    <w:p w14:paraId="1EFA881E" w14:textId="41FEC710" w:rsidR="00DC4B0B" w:rsidRPr="00714269" w:rsidRDefault="00DC4B0B" w:rsidP="00B71CD0">
      <w:pPr>
        <w:spacing w:line="276" w:lineRule="auto"/>
        <w:jc w:val="both"/>
        <w:rPr>
          <w:rFonts w:ascii="Lato" w:hAnsi="Lato"/>
          <w:i/>
          <w:color w:val="595959" w:themeColor="text1" w:themeTint="A6"/>
          <w:sz w:val="18"/>
          <w:szCs w:val="22"/>
          <w:lang w:val="es-ES"/>
        </w:rPr>
      </w:pPr>
      <w:r w:rsidRPr="00714269">
        <w:rPr>
          <w:rFonts w:ascii="Lato" w:hAnsi="Lato"/>
          <w:i/>
          <w:color w:val="595959" w:themeColor="text1" w:themeTint="A6"/>
          <w:sz w:val="18"/>
          <w:szCs w:val="22"/>
          <w:lang w:val="es-ES"/>
        </w:rPr>
        <w:t>Nota 2. Los documentos para la formalización de apertura de cuenta bancaria varían según la institución financiera.</w:t>
      </w:r>
    </w:p>
    <w:p w14:paraId="4B25C8F6" w14:textId="039B7550" w:rsidR="00300AFA" w:rsidRPr="00714269" w:rsidRDefault="00300AFA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tbl>
      <w:tblPr>
        <w:tblW w:w="6680" w:type="dxa"/>
        <w:jc w:val="center"/>
        <w:tblBorders>
          <w:top w:val="single" w:sz="4" w:space="0" w:color="7F7F7F"/>
          <w:bottom w:val="single" w:sz="4" w:space="0" w:color="7F7F7F"/>
          <w:insideH w:val="single" w:sz="4" w:space="0" w:color="7F7F7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80"/>
      </w:tblGrid>
      <w:tr w:rsidR="00166952" w:rsidRPr="00714269" w14:paraId="229156A0" w14:textId="77777777" w:rsidTr="00166952">
        <w:trPr>
          <w:trHeight w:val="439"/>
          <w:jc w:val="center"/>
        </w:trPr>
        <w:tc>
          <w:tcPr>
            <w:tcW w:w="6680" w:type="dxa"/>
            <w:shd w:val="clear" w:color="auto" w:fill="D9D9D9" w:themeFill="background1" w:themeFillShade="D9"/>
            <w:vAlign w:val="center"/>
            <w:hideMark/>
          </w:tcPr>
          <w:p w14:paraId="7FDED4A9" w14:textId="77777777" w:rsidR="00300AFA" w:rsidRPr="00714269" w:rsidRDefault="00300AFA" w:rsidP="00B71CD0">
            <w:pPr>
              <w:spacing w:line="276" w:lineRule="auto"/>
              <w:jc w:val="center"/>
              <w:rPr>
                <w:rFonts w:ascii="Lato" w:eastAsia="Times New Roman" w:hAnsi="Lato" w:cs="Calibri"/>
                <w:b/>
                <w:bCs/>
                <w:color w:val="595959" w:themeColor="text1" w:themeTint="A6"/>
                <w:sz w:val="18"/>
                <w:szCs w:val="18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b/>
                <w:bCs/>
                <w:color w:val="595959" w:themeColor="text1" w:themeTint="A6"/>
                <w:sz w:val="18"/>
                <w:szCs w:val="18"/>
                <w:lang w:val="es-ES" w:eastAsia="es-MX"/>
              </w:rPr>
              <w:t>Documentos para la apertura de cuentas de inversión (Custodia en EUA)</w:t>
            </w:r>
          </w:p>
        </w:tc>
      </w:tr>
      <w:tr w:rsidR="00166952" w:rsidRPr="00714269" w14:paraId="0637A82B" w14:textId="77777777" w:rsidTr="00166952">
        <w:trPr>
          <w:trHeight w:val="439"/>
          <w:jc w:val="center"/>
        </w:trPr>
        <w:tc>
          <w:tcPr>
            <w:tcW w:w="6680" w:type="dxa"/>
            <w:shd w:val="clear" w:color="auto" w:fill="auto"/>
            <w:vAlign w:val="center"/>
            <w:hideMark/>
          </w:tcPr>
          <w:p w14:paraId="3CB4FC16" w14:textId="70540007" w:rsidR="00300AFA" w:rsidRPr="00714269" w:rsidRDefault="00300AFA" w:rsidP="00B71CD0">
            <w:pPr>
              <w:spacing w:line="276" w:lineRule="auto"/>
              <w:ind w:firstLineChars="100" w:firstLine="180"/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  <w:t>Carta de solicitud de apertura de cuenta de inversión</w:t>
            </w:r>
          </w:p>
        </w:tc>
      </w:tr>
      <w:tr w:rsidR="00166952" w:rsidRPr="00714269" w14:paraId="1B491238" w14:textId="77777777" w:rsidTr="00166952">
        <w:trPr>
          <w:trHeight w:val="439"/>
          <w:jc w:val="center"/>
        </w:trPr>
        <w:tc>
          <w:tcPr>
            <w:tcW w:w="6680" w:type="dxa"/>
            <w:shd w:val="clear" w:color="auto" w:fill="auto"/>
            <w:vAlign w:val="center"/>
            <w:hideMark/>
          </w:tcPr>
          <w:p w14:paraId="203B3ABC" w14:textId="0FF03447" w:rsidR="00300AFA" w:rsidRPr="00714269" w:rsidRDefault="00300AFA" w:rsidP="00B71CD0">
            <w:pPr>
              <w:spacing w:line="276" w:lineRule="auto"/>
              <w:ind w:firstLineChars="100" w:firstLine="180"/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n-U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n-US" w:eastAsia="es-MX"/>
              </w:rPr>
              <w:t>Endowments and Foundations - Entity Application</w:t>
            </w:r>
          </w:p>
        </w:tc>
      </w:tr>
      <w:tr w:rsidR="00166952" w:rsidRPr="00714269" w14:paraId="626CA9FD" w14:textId="77777777" w:rsidTr="00166952">
        <w:trPr>
          <w:trHeight w:val="439"/>
          <w:jc w:val="center"/>
        </w:trPr>
        <w:tc>
          <w:tcPr>
            <w:tcW w:w="6680" w:type="dxa"/>
            <w:shd w:val="clear" w:color="auto" w:fill="auto"/>
            <w:vAlign w:val="center"/>
            <w:hideMark/>
          </w:tcPr>
          <w:p w14:paraId="5D4CB29A" w14:textId="77777777" w:rsidR="00300AFA" w:rsidRPr="00714269" w:rsidRDefault="00300AFA" w:rsidP="00B71CD0">
            <w:pPr>
              <w:spacing w:line="276" w:lineRule="auto"/>
              <w:ind w:firstLineChars="100" w:firstLine="180"/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  <w:t>Certification Regarding Entity Status</w:t>
            </w:r>
          </w:p>
        </w:tc>
      </w:tr>
      <w:tr w:rsidR="00166952" w:rsidRPr="00714269" w14:paraId="21F4A220" w14:textId="77777777" w:rsidTr="00166952">
        <w:trPr>
          <w:trHeight w:val="439"/>
          <w:jc w:val="center"/>
        </w:trPr>
        <w:tc>
          <w:tcPr>
            <w:tcW w:w="6680" w:type="dxa"/>
            <w:shd w:val="clear" w:color="auto" w:fill="auto"/>
            <w:vAlign w:val="center"/>
            <w:hideMark/>
          </w:tcPr>
          <w:p w14:paraId="7DC24C43" w14:textId="77777777" w:rsidR="00300AFA" w:rsidRPr="00714269" w:rsidRDefault="00300AFA" w:rsidP="00B71CD0">
            <w:pPr>
              <w:spacing w:line="276" w:lineRule="auto"/>
              <w:ind w:firstLineChars="100" w:firstLine="180"/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  <w:t>Client Level Suitability</w:t>
            </w:r>
          </w:p>
        </w:tc>
      </w:tr>
      <w:tr w:rsidR="00166952" w:rsidRPr="00714269" w14:paraId="2C5A8777" w14:textId="77777777" w:rsidTr="00166952">
        <w:trPr>
          <w:trHeight w:val="439"/>
          <w:jc w:val="center"/>
        </w:trPr>
        <w:tc>
          <w:tcPr>
            <w:tcW w:w="6680" w:type="dxa"/>
            <w:shd w:val="clear" w:color="auto" w:fill="auto"/>
            <w:vAlign w:val="center"/>
            <w:hideMark/>
          </w:tcPr>
          <w:p w14:paraId="40FC5BCC" w14:textId="77777777" w:rsidR="00300AFA" w:rsidRPr="00714269" w:rsidRDefault="00300AFA" w:rsidP="00B71CD0">
            <w:pPr>
              <w:spacing w:line="276" w:lineRule="auto"/>
              <w:ind w:firstLineChars="100" w:firstLine="180"/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  <w:t>Account Level Suitability</w:t>
            </w:r>
          </w:p>
        </w:tc>
      </w:tr>
      <w:tr w:rsidR="00166952" w:rsidRPr="00714269" w14:paraId="5FE09068" w14:textId="77777777" w:rsidTr="00166952">
        <w:trPr>
          <w:trHeight w:val="439"/>
          <w:jc w:val="center"/>
        </w:trPr>
        <w:tc>
          <w:tcPr>
            <w:tcW w:w="6680" w:type="dxa"/>
            <w:shd w:val="clear" w:color="auto" w:fill="auto"/>
            <w:vAlign w:val="center"/>
            <w:hideMark/>
          </w:tcPr>
          <w:p w14:paraId="280B985B" w14:textId="77777777" w:rsidR="00300AFA" w:rsidRPr="00714269" w:rsidRDefault="00300AFA" w:rsidP="00B71CD0">
            <w:pPr>
              <w:spacing w:line="276" w:lineRule="auto"/>
              <w:ind w:firstLineChars="100" w:firstLine="180"/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  <w:t>Client Level Affiliations</w:t>
            </w:r>
          </w:p>
        </w:tc>
      </w:tr>
      <w:tr w:rsidR="00166952" w:rsidRPr="00714269" w14:paraId="3076F2B5" w14:textId="77777777" w:rsidTr="00166952">
        <w:trPr>
          <w:trHeight w:val="439"/>
          <w:jc w:val="center"/>
        </w:trPr>
        <w:tc>
          <w:tcPr>
            <w:tcW w:w="6680" w:type="dxa"/>
            <w:shd w:val="clear" w:color="auto" w:fill="auto"/>
            <w:vAlign w:val="center"/>
            <w:hideMark/>
          </w:tcPr>
          <w:p w14:paraId="4510CC35" w14:textId="77777777" w:rsidR="00300AFA" w:rsidRPr="00714269" w:rsidRDefault="00300AFA" w:rsidP="00B71CD0">
            <w:pPr>
              <w:spacing w:line="276" w:lineRule="auto"/>
              <w:ind w:firstLineChars="100" w:firstLine="180"/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  <w:t>Regulation S – Offshore Funds Form</w:t>
            </w:r>
          </w:p>
        </w:tc>
      </w:tr>
      <w:tr w:rsidR="00166952" w:rsidRPr="00714269" w14:paraId="5356D3C5" w14:textId="77777777" w:rsidTr="00166952">
        <w:trPr>
          <w:trHeight w:val="439"/>
          <w:jc w:val="center"/>
        </w:trPr>
        <w:tc>
          <w:tcPr>
            <w:tcW w:w="6680" w:type="dxa"/>
            <w:shd w:val="clear" w:color="auto" w:fill="auto"/>
            <w:vAlign w:val="center"/>
            <w:hideMark/>
          </w:tcPr>
          <w:p w14:paraId="5E49E158" w14:textId="77777777" w:rsidR="00300AFA" w:rsidRPr="00714269" w:rsidRDefault="00300AFA" w:rsidP="00B71CD0">
            <w:pPr>
              <w:spacing w:line="276" w:lineRule="auto"/>
              <w:ind w:firstLineChars="100" w:firstLine="180"/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  <w:t>Trusted Contact Person Authorization</w:t>
            </w:r>
          </w:p>
        </w:tc>
      </w:tr>
      <w:tr w:rsidR="00166952" w:rsidRPr="00714269" w14:paraId="3AC4077D" w14:textId="77777777" w:rsidTr="00166952">
        <w:trPr>
          <w:trHeight w:val="439"/>
          <w:jc w:val="center"/>
        </w:trPr>
        <w:tc>
          <w:tcPr>
            <w:tcW w:w="6680" w:type="dxa"/>
            <w:shd w:val="clear" w:color="auto" w:fill="auto"/>
            <w:vAlign w:val="center"/>
            <w:hideMark/>
          </w:tcPr>
          <w:p w14:paraId="45070E7F" w14:textId="77777777" w:rsidR="00300AFA" w:rsidRPr="00714269" w:rsidRDefault="00300AFA" w:rsidP="00B71CD0">
            <w:pPr>
              <w:spacing w:line="276" w:lineRule="auto"/>
              <w:ind w:firstLineChars="100" w:firstLine="180"/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  <w:t>Depositing Cash and Securities into a JPM Account</w:t>
            </w:r>
          </w:p>
        </w:tc>
      </w:tr>
      <w:tr w:rsidR="00166952" w:rsidRPr="00714269" w14:paraId="383B7188" w14:textId="77777777" w:rsidTr="00166952">
        <w:trPr>
          <w:trHeight w:val="439"/>
          <w:jc w:val="center"/>
        </w:trPr>
        <w:tc>
          <w:tcPr>
            <w:tcW w:w="6680" w:type="dxa"/>
            <w:shd w:val="clear" w:color="auto" w:fill="auto"/>
            <w:vAlign w:val="center"/>
            <w:hideMark/>
          </w:tcPr>
          <w:p w14:paraId="0D6008BA" w14:textId="77777777" w:rsidR="00300AFA" w:rsidRPr="00714269" w:rsidRDefault="00300AFA" w:rsidP="00B71CD0">
            <w:pPr>
              <w:spacing w:line="276" w:lineRule="auto"/>
              <w:ind w:firstLineChars="100" w:firstLine="180"/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  <w:t>International General Terms and Service Agreements and Amendments</w:t>
            </w:r>
          </w:p>
        </w:tc>
      </w:tr>
      <w:tr w:rsidR="00166952" w:rsidRPr="00714269" w14:paraId="3B657D2F" w14:textId="77777777" w:rsidTr="00166952">
        <w:trPr>
          <w:trHeight w:val="439"/>
          <w:jc w:val="center"/>
        </w:trPr>
        <w:tc>
          <w:tcPr>
            <w:tcW w:w="6680" w:type="dxa"/>
            <w:shd w:val="clear" w:color="auto" w:fill="auto"/>
            <w:vAlign w:val="center"/>
            <w:hideMark/>
          </w:tcPr>
          <w:p w14:paraId="5B7F3D74" w14:textId="77777777" w:rsidR="00300AFA" w:rsidRPr="00714269" w:rsidRDefault="00300AFA" w:rsidP="00B71CD0">
            <w:pPr>
              <w:spacing w:line="276" w:lineRule="auto"/>
              <w:ind w:firstLineChars="100" w:firstLine="180"/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  <w:t>FINRA Disclosure</w:t>
            </w:r>
          </w:p>
        </w:tc>
      </w:tr>
      <w:tr w:rsidR="00166952" w:rsidRPr="00714269" w14:paraId="351ABFA2" w14:textId="77777777" w:rsidTr="00166952">
        <w:trPr>
          <w:trHeight w:val="439"/>
          <w:jc w:val="center"/>
        </w:trPr>
        <w:tc>
          <w:tcPr>
            <w:tcW w:w="6680" w:type="dxa"/>
            <w:shd w:val="clear" w:color="auto" w:fill="auto"/>
            <w:vAlign w:val="center"/>
            <w:hideMark/>
          </w:tcPr>
          <w:p w14:paraId="3F803915" w14:textId="77777777" w:rsidR="00300AFA" w:rsidRPr="00714269" w:rsidRDefault="00300AFA" w:rsidP="00B71CD0">
            <w:pPr>
              <w:spacing w:line="276" w:lineRule="auto"/>
              <w:ind w:firstLineChars="100" w:firstLine="180"/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  <w:t>J.P. Morgan Risk Disclosure</w:t>
            </w:r>
          </w:p>
        </w:tc>
      </w:tr>
      <w:tr w:rsidR="00166952" w:rsidRPr="00714269" w14:paraId="6B8C78CD" w14:textId="77777777" w:rsidTr="00166952">
        <w:trPr>
          <w:trHeight w:val="439"/>
          <w:jc w:val="center"/>
        </w:trPr>
        <w:tc>
          <w:tcPr>
            <w:tcW w:w="6680" w:type="dxa"/>
            <w:shd w:val="clear" w:color="auto" w:fill="auto"/>
            <w:vAlign w:val="center"/>
            <w:hideMark/>
          </w:tcPr>
          <w:p w14:paraId="5E367DFF" w14:textId="77777777" w:rsidR="00300AFA" w:rsidRPr="00714269" w:rsidRDefault="00300AFA" w:rsidP="00B71CD0">
            <w:pPr>
              <w:spacing w:line="276" w:lineRule="auto"/>
              <w:ind w:firstLineChars="100" w:firstLine="180"/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  <w:t>JP Morgan Liquidity Funds Prospectus</w:t>
            </w:r>
          </w:p>
        </w:tc>
      </w:tr>
      <w:tr w:rsidR="00166952" w:rsidRPr="00714269" w14:paraId="205B46B9" w14:textId="77777777" w:rsidTr="00166952">
        <w:trPr>
          <w:trHeight w:val="439"/>
          <w:jc w:val="center"/>
        </w:trPr>
        <w:tc>
          <w:tcPr>
            <w:tcW w:w="6680" w:type="dxa"/>
            <w:shd w:val="clear" w:color="auto" w:fill="auto"/>
            <w:vAlign w:val="center"/>
            <w:hideMark/>
          </w:tcPr>
          <w:p w14:paraId="07033029" w14:textId="77777777" w:rsidR="00300AFA" w:rsidRPr="00714269" w:rsidRDefault="00300AFA" w:rsidP="00B71CD0">
            <w:pPr>
              <w:spacing w:line="276" w:lineRule="auto"/>
              <w:ind w:firstLineChars="100" w:firstLine="180"/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  <w:t>Deposit Sweep Rate Sheet</w:t>
            </w:r>
          </w:p>
        </w:tc>
      </w:tr>
      <w:tr w:rsidR="00166952" w:rsidRPr="00714269" w14:paraId="01C268E0" w14:textId="77777777" w:rsidTr="00166952">
        <w:trPr>
          <w:trHeight w:val="439"/>
          <w:jc w:val="center"/>
        </w:trPr>
        <w:tc>
          <w:tcPr>
            <w:tcW w:w="6680" w:type="dxa"/>
            <w:shd w:val="clear" w:color="auto" w:fill="auto"/>
            <w:vAlign w:val="center"/>
            <w:hideMark/>
          </w:tcPr>
          <w:p w14:paraId="68B4F907" w14:textId="77777777" w:rsidR="00300AFA" w:rsidRPr="00714269" w:rsidRDefault="00300AFA" w:rsidP="00B71CD0">
            <w:pPr>
              <w:spacing w:line="276" w:lineRule="auto"/>
              <w:ind w:firstLineChars="100" w:firstLine="180"/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  <w:t>Fee Schedule: Brokerage Account</w:t>
            </w:r>
          </w:p>
        </w:tc>
      </w:tr>
      <w:tr w:rsidR="00166952" w:rsidRPr="00714269" w14:paraId="56861B24" w14:textId="77777777" w:rsidTr="00166952">
        <w:trPr>
          <w:trHeight w:val="439"/>
          <w:jc w:val="center"/>
        </w:trPr>
        <w:tc>
          <w:tcPr>
            <w:tcW w:w="6680" w:type="dxa"/>
            <w:shd w:val="clear" w:color="auto" w:fill="auto"/>
            <w:vAlign w:val="center"/>
            <w:hideMark/>
          </w:tcPr>
          <w:p w14:paraId="1A3DF8FF" w14:textId="77777777" w:rsidR="00300AFA" w:rsidRPr="00714269" w:rsidRDefault="00300AFA" w:rsidP="00B71CD0">
            <w:pPr>
              <w:spacing w:line="276" w:lineRule="auto"/>
              <w:ind w:firstLineChars="100" w:firstLine="180"/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  <w:t>Form W8EXP</w:t>
            </w:r>
          </w:p>
        </w:tc>
      </w:tr>
      <w:tr w:rsidR="00166952" w:rsidRPr="00714269" w14:paraId="3C8F3E6C" w14:textId="77777777" w:rsidTr="00166952">
        <w:trPr>
          <w:trHeight w:val="439"/>
          <w:jc w:val="center"/>
        </w:trPr>
        <w:tc>
          <w:tcPr>
            <w:tcW w:w="6680" w:type="dxa"/>
            <w:shd w:val="clear" w:color="auto" w:fill="auto"/>
            <w:vAlign w:val="center"/>
            <w:hideMark/>
          </w:tcPr>
          <w:p w14:paraId="71CC1003" w14:textId="77777777" w:rsidR="00300AFA" w:rsidRPr="00714269" w:rsidRDefault="00300AFA" w:rsidP="00B71CD0">
            <w:pPr>
              <w:spacing w:line="276" w:lineRule="auto"/>
              <w:ind w:firstLineChars="100" w:firstLine="180"/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  <w:t xml:space="preserve">Inquiry authorization </w:t>
            </w:r>
          </w:p>
        </w:tc>
      </w:tr>
      <w:tr w:rsidR="00166952" w:rsidRPr="00714269" w14:paraId="53189E9C" w14:textId="77777777" w:rsidTr="00166952">
        <w:trPr>
          <w:trHeight w:val="439"/>
          <w:jc w:val="center"/>
        </w:trPr>
        <w:tc>
          <w:tcPr>
            <w:tcW w:w="6680" w:type="dxa"/>
            <w:shd w:val="clear" w:color="auto" w:fill="auto"/>
            <w:vAlign w:val="center"/>
            <w:hideMark/>
          </w:tcPr>
          <w:p w14:paraId="5E5A8E79" w14:textId="77777777" w:rsidR="00300AFA" w:rsidRPr="00714269" w:rsidRDefault="00300AFA" w:rsidP="00B71CD0">
            <w:pPr>
              <w:spacing w:line="276" w:lineRule="auto"/>
              <w:ind w:firstLineChars="100" w:firstLine="180"/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  <w:t>J.P. Morgan data feed account authorization</w:t>
            </w:r>
          </w:p>
        </w:tc>
      </w:tr>
      <w:tr w:rsidR="00166952" w:rsidRPr="00714269" w14:paraId="23FF5D5A" w14:textId="77777777" w:rsidTr="00166952">
        <w:trPr>
          <w:trHeight w:val="439"/>
          <w:jc w:val="center"/>
        </w:trPr>
        <w:tc>
          <w:tcPr>
            <w:tcW w:w="6680" w:type="dxa"/>
            <w:shd w:val="clear" w:color="auto" w:fill="auto"/>
            <w:vAlign w:val="center"/>
            <w:hideMark/>
          </w:tcPr>
          <w:p w14:paraId="72899AAA" w14:textId="77777777" w:rsidR="00300AFA" w:rsidRPr="00714269" w:rsidRDefault="00300AFA" w:rsidP="00B71CD0">
            <w:pPr>
              <w:spacing w:line="276" w:lineRule="auto"/>
              <w:ind w:firstLineChars="100" w:firstLine="180"/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  <w:t>Entity Certification of Authority (Annex 1)</w:t>
            </w:r>
          </w:p>
        </w:tc>
      </w:tr>
    </w:tbl>
    <w:p w14:paraId="7DF03FC5" w14:textId="773687A5" w:rsidR="00300AFA" w:rsidRPr="00714269" w:rsidRDefault="00300AFA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01FEC140" w14:textId="518CA035" w:rsidR="00300AFA" w:rsidRPr="00714269" w:rsidRDefault="00300AFA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1AEAE70D" w14:textId="40AE9060" w:rsidR="00300AFA" w:rsidRPr="00714269" w:rsidRDefault="00300AFA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03E584A0" w14:textId="1F464244" w:rsidR="00300AFA" w:rsidRPr="00714269" w:rsidRDefault="00300AFA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2CA2DBF4" w14:textId="77777777" w:rsidR="00300AFA" w:rsidRPr="00714269" w:rsidRDefault="00300AFA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67BA057B" w14:textId="059ABBFC" w:rsidR="00300AFA" w:rsidRPr="00714269" w:rsidRDefault="00300AFA" w:rsidP="00B71CD0">
      <w:pPr>
        <w:spacing w:line="276" w:lineRule="auto"/>
        <w:jc w:val="both"/>
        <w:rPr>
          <w:rFonts w:ascii="Lato" w:hAnsi="Lato"/>
          <w:b/>
          <w:color w:val="595959" w:themeColor="text1" w:themeTint="A6"/>
          <w:sz w:val="22"/>
          <w:szCs w:val="22"/>
          <w:lang w:val="es-ES"/>
        </w:rPr>
      </w:pPr>
      <w:r w:rsidRPr="00714269">
        <w:rPr>
          <w:rFonts w:ascii="Lato" w:hAnsi="Lato"/>
          <w:b/>
          <w:color w:val="595959" w:themeColor="text1" w:themeTint="A6"/>
          <w:sz w:val="22"/>
          <w:szCs w:val="22"/>
          <w:lang w:val="es-ES"/>
        </w:rPr>
        <w:lastRenderedPageBreak/>
        <w:t>A2.  Documentación para la apertura de cuentas de inversión – custodia en México</w:t>
      </w:r>
    </w:p>
    <w:p w14:paraId="1FFDB859" w14:textId="482EE3AE" w:rsidR="00DC4B0B" w:rsidRPr="00714269" w:rsidRDefault="00DC4B0B" w:rsidP="00B71CD0">
      <w:pPr>
        <w:spacing w:line="276" w:lineRule="auto"/>
        <w:jc w:val="both"/>
        <w:rPr>
          <w:rFonts w:ascii="Lato" w:hAnsi="Lato"/>
          <w:i/>
          <w:color w:val="595959" w:themeColor="text1" w:themeTint="A6"/>
          <w:sz w:val="18"/>
          <w:szCs w:val="22"/>
          <w:lang w:val="es-ES"/>
        </w:rPr>
      </w:pPr>
      <w:r w:rsidRPr="00714269">
        <w:rPr>
          <w:rFonts w:ascii="Lato" w:hAnsi="Lato"/>
          <w:i/>
          <w:color w:val="595959" w:themeColor="text1" w:themeTint="A6"/>
          <w:sz w:val="18"/>
          <w:szCs w:val="22"/>
          <w:lang w:val="es-ES"/>
        </w:rPr>
        <w:t>Nota 1. Al 18 de agosto de 2021, el custodio en EUA de FMCN es Scotiabank</w:t>
      </w:r>
      <w:r w:rsidR="004C308D">
        <w:rPr>
          <w:rFonts w:ascii="Lato" w:hAnsi="Lato"/>
          <w:i/>
          <w:color w:val="595959" w:themeColor="text1" w:themeTint="A6"/>
          <w:sz w:val="18"/>
          <w:szCs w:val="22"/>
          <w:lang w:val="es-ES"/>
        </w:rPr>
        <w:t>.</w:t>
      </w:r>
    </w:p>
    <w:p w14:paraId="1C2A5B4F" w14:textId="31284AA1" w:rsidR="00DC4B0B" w:rsidRPr="00714269" w:rsidRDefault="00DC4B0B" w:rsidP="00B71CD0">
      <w:pPr>
        <w:spacing w:line="276" w:lineRule="auto"/>
        <w:jc w:val="both"/>
        <w:rPr>
          <w:rFonts w:ascii="Lato" w:hAnsi="Lato"/>
          <w:i/>
          <w:color w:val="595959" w:themeColor="text1" w:themeTint="A6"/>
          <w:sz w:val="18"/>
          <w:szCs w:val="22"/>
          <w:lang w:val="es-ES"/>
        </w:rPr>
      </w:pPr>
      <w:r w:rsidRPr="00714269">
        <w:rPr>
          <w:rFonts w:ascii="Lato" w:hAnsi="Lato"/>
          <w:i/>
          <w:color w:val="595959" w:themeColor="text1" w:themeTint="A6"/>
          <w:sz w:val="18"/>
          <w:szCs w:val="22"/>
          <w:lang w:val="es-ES"/>
        </w:rPr>
        <w:t>Nota 2. Los documentos para la formalización de apertura de cuenta bancaria varían según la institución financiera.</w:t>
      </w:r>
    </w:p>
    <w:p w14:paraId="554C3469" w14:textId="6783733D" w:rsidR="00300AFA" w:rsidRPr="00714269" w:rsidRDefault="00300AFA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tbl>
      <w:tblPr>
        <w:tblW w:w="6763" w:type="dxa"/>
        <w:jc w:val="center"/>
        <w:tblBorders>
          <w:top w:val="single" w:sz="4" w:space="0" w:color="7F7F7F"/>
          <w:bottom w:val="single" w:sz="4" w:space="0" w:color="7F7F7F"/>
          <w:insideH w:val="single" w:sz="4" w:space="0" w:color="7F7F7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63"/>
      </w:tblGrid>
      <w:tr w:rsidR="00166952" w:rsidRPr="00714269" w14:paraId="0B2F7221" w14:textId="77777777" w:rsidTr="00EA7096">
        <w:trPr>
          <w:trHeight w:val="696"/>
          <w:jc w:val="center"/>
        </w:trPr>
        <w:tc>
          <w:tcPr>
            <w:tcW w:w="6763" w:type="dxa"/>
            <w:shd w:val="clear" w:color="auto" w:fill="D9D9D9" w:themeFill="background1" w:themeFillShade="D9"/>
            <w:vAlign w:val="center"/>
            <w:hideMark/>
          </w:tcPr>
          <w:p w14:paraId="505FEDB7" w14:textId="77777777" w:rsidR="00300AFA" w:rsidRPr="00714269" w:rsidRDefault="00300AFA" w:rsidP="00B71CD0">
            <w:pPr>
              <w:spacing w:line="276" w:lineRule="auto"/>
              <w:jc w:val="center"/>
              <w:rPr>
                <w:rFonts w:ascii="Lato" w:eastAsia="Times New Roman" w:hAnsi="Lato" w:cs="Calibri"/>
                <w:b/>
                <w:bCs/>
                <w:color w:val="595959" w:themeColor="text1" w:themeTint="A6"/>
                <w:sz w:val="18"/>
                <w:szCs w:val="18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b/>
                <w:bCs/>
                <w:color w:val="595959" w:themeColor="text1" w:themeTint="A6"/>
                <w:sz w:val="18"/>
                <w:szCs w:val="18"/>
                <w:lang w:val="es-ES" w:eastAsia="es-MX"/>
              </w:rPr>
              <w:t>Documentos para la apertura de cuentas de inversión (Custodia en México)</w:t>
            </w:r>
          </w:p>
        </w:tc>
      </w:tr>
      <w:tr w:rsidR="00166952" w:rsidRPr="00714269" w14:paraId="6E9DC0D0" w14:textId="77777777" w:rsidTr="00EA7096">
        <w:trPr>
          <w:trHeight w:val="696"/>
          <w:jc w:val="center"/>
        </w:trPr>
        <w:tc>
          <w:tcPr>
            <w:tcW w:w="6763" w:type="dxa"/>
            <w:shd w:val="clear" w:color="auto" w:fill="auto"/>
            <w:vAlign w:val="center"/>
            <w:hideMark/>
          </w:tcPr>
          <w:p w14:paraId="363A1E00" w14:textId="77777777" w:rsidR="00300AFA" w:rsidRPr="00714269" w:rsidRDefault="00300AFA" w:rsidP="00B71CD0">
            <w:pPr>
              <w:spacing w:line="276" w:lineRule="auto"/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  <w:t>Solicitud de información de entidades</w:t>
            </w:r>
          </w:p>
        </w:tc>
      </w:tr>
      <w:tr w:rsidR="00166952" w:rsidRPr="00714269" w14:paraId="144E4857" w14:textId="77777777" w:rsidTr="00EA7096">
        <w:trPr>
          <w:trHeight w:val="696"/>
          <w:jc w:val="center"/>
        </w:trPr>
        <w:tc>
          <w:tcPr>
            <w:tcW w:w="6763" w:type="dxa"/>
            <w:shd w:val="clear" w:color="auto" w:fill="auto"/>
            <w:vAlign w:val="center"/>
            <w:hideMark/>
          </w:tcPr>
          <w:p w14:paraId="34FACB19" w14:textId="6192124A" w:rsidR="00300AFA" w:rsidRPr="00714269" w:rsidRDefault="00300AFA" w:rsidP="00B71CD0">
            <w:pPr>
              <w:spacing w:line="276" w:lineRule="auto"/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  <w:t>Conoce a tu cliente persona moral (KYC)</w:t>
            </w:r>
          </w:p>
        </w:tc>
      </w:tr>
      <w:tr w:rsidR="00166952" w:rsidRPr="00714269" w14:paraId="3A1EC7EA" w14:textId="77777777" w:rsidTr="00EA7096">
        <w:trPr>
          <w:trHeight w:val="696"/>
          <w:jc w:val="center"/>
        </w:trPr>
        <w:tc>
          <w:tcPr>
            <w:tcW w:w="6763" w:type="dxa"/>
            <w:shd w:val="clear" w:color="auto" w:fill="auto"/>
            <w:vAlign w:val="center"/>
            <w:hideMark/>
          </w:tcPr>
          <w:p w14:paraId="1A39E54F" w14:textId="77777777" w:rsidR="00300AFA" w:rsidRPr="00714269" w:rsidRDefault="00300AFA" w:rsidP="00B71CD0">
            <w:pPr>
              <w:spacing w:line="276" w:lineRule="auto"/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  <w:t>Información de Entidades</w:t>
            </w:r>
          </w:p>
        </w:tc>
      </w:tr>
      <w:tr w:rsidR="00166952" w:rsidRPr="00714269" w14:paraId="6A7B0D9E" w14:textId="77777777" w:rsidTr="00EA7096">
        <w:trPr>
          <w:trHeight w:val="696"/>
          <w:jc w:val="center"/>
        </w:trPr>
        <w:tc>
          <w:tcPr>
            <w:tcW w:w="6763" w:type="dxa"/>
            <w:shd w:val="clear" w:color="auto" w:fill="auto"/>
            <w:vAlign w:val="center"/>
            <w:hideMark/>
          </w:tcPr>
          <w:p w14:paraId="49E82909" w14:textId="77777777" w:rsidR="00300AFA" w:rsidRPr="00714269" w:rsidRDefault="00300AFA" w:rsidP="00B71CD0">
            <w:pPr>
              <w:spacing w:line="276" w:lineRule="auto"/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  <w:t>Integración de accionistas</w:t>
            </w:r>
          </w:p>
        </w:tc>
      </w:tr>
      <w:tr w:rsidR="00166952" w:rsidRPr="00714269" w14:paraId="0BA93E2B" w14:textId="77777777" w:rsidTr="00EA7096">
        <w:trPr>
          <w:trHeight w:val="696"/>
          <w:jc w:val="center"/>
        </w:trPr>
        <w:tc>
          <w:tcPr>
            <w:tcW w:w="6763" w:type="dxa"/>
            <w:shd w:val="clear" w:color="auto" w:fill="auto"/>
            <w:vAlign w:val="center"/>
            <w:hideMark/>
          </w:tcPr>
          <w:p w14:paraId="0DC64DF4" w14:textId="77777777" w:rsidR="00300AFA" w:rsidRPr="00714269" w:rsidRDefault="00300AFA" w:rsidP="00B71CD0">
            <w:pPr>
              <w:spacing w:line="276" w:lineRule="auto"/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  <w:t>Extracto contrato de intermediación bursátil asesores</w:t>
            </w:r>
          </w:p>
        </w:tc>
      </w:tr>
      <w:tr w:rsidR="00166952" w:rsidRPr="00714269" w14:paraId="271079E6" w14:textId="77777777" w:rsidTr="00EA7096">
        <w:trPr>
          <w:trHeight w:val="696"/>
          <w:jc w:val="center"/>
        </w:trPr>
        <w:tc>
          <w:tcPr>
            <w:tcW w:w="6763" w:type="dxa"/>
            <w:shd w:val="clear" w:color="auto" w:fill="auto"/>
            <w:vAlign w:val="center"/>
            <w:hideMark/>
          </w:tcPr>
          <w:p w14:paraId="76C2B7C2" w14:textId="77777777" w:rsidR="00300AFA" w:rsidRPr="00714269" w:rsidRDefault="00300AFA" w:rsidP="00B71CD0">
            <w:pPr>
              <w:spacing w:line="276" w:lineRule="auto"/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  <w:t xml:space="preserve">Convenio de intermediación bursátil </w:t>
            </w:r>
          </w:p>
        </w:tc>
      </w:tr>
      <w:tr w:rsidR="00166952" w:rsidRPr="00714269" w14:paraId="1CA4ED3B" w14:textId="77777777" w:rsidTr="00EA7096">
        <w:trPr>
          <w:trHeight w:val="696"/>
          <w:jc w:val="center"/>
        </w:trPr>
        <w:tc>
          <w:tcPr>
            <w:tcW w:w="6763" w:type="dxa"/>
            <w:shd w:val="clear" w:color="auto" w:fill="auto"/>
            <w:vAlign w:val="center"/>
            <w:hideMark/>
          </w:tcPr>
          <w:p w14:paraId="3E21401A" w14:textId="3BD48390" w:rsidR="00300AFA" w:rsidRPr="00714269" w:rsidRDefault="00300AFA" w:rsidP="00B71CD0">
            <w:pPr>
              <w:spacing w:line="276" w:lineRule="auto"/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  <w:t>Carta manifiesto de entrega del cuadernillo del contrato de inversión.</w:t>
            </w:r>
          </w:p>
        </w:tc>
      </w:tr>
      <w:tr w:rsidR="00166952" w:rsidRPr="00714269" w14:paraId="3807328B" w14:textId="77777777" w:rsidTr="00EA7096">
        <w:trPr>
          <w:trHeight w:val="696"/>
          <w:jc w:val="center"/>
        </w:trPr>
        <w:tc>
          <w:tcPr>
            <w:tcW w:w="6763" w:type="dxa"/>
            <w:shd w:val="clear" w:color="auto" w:fill="auto"/>
            <w:vAlign w:val="center"/>
            <w:hideMark/>
          </w:tcPr>
          <w:p w14:paraId="7E2DA45B" w14:textId="77777777" w:rsidR="00300AFA" w:rsidRPr="00714269" w:rsidRDefault="00300AFA" w:rsidP="00B71CD0">
            <w:pPr>
              <w:spacing w:line="276" w:lineRule="auto"/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  <w:t>Carta bajo protesta de decir verdad de entrega de los poderes actualizados de los representantes legales de la institución registrados</w:t>
            </w:r>
          </w:p>
        </w:tc>
      </w:tr>
      <w:tr w:rsidR="00166952" w:rsidRPr="00714269" w14:paraId="0DF4585F" w14:textId="77777777" w:rsidTr="00EA7096">
        <w:trPr>
          <w:trHeight w:val="696"/>
          <w:jc w:val="center"/>
        </w:trPr>
        <w:tc>
          <w:tcPr>
            <w:tcW w:w="6763" w:type="dxa"/>
            <w:shd w:val="clear" w:color="auto" w:fill="auto"/>
            <w:vAlign w:val="center"/>
            <w:hideMark/>
          </w:tcPr>
          <w:p w14:paraId="072ABF2A" w14:textId="77777777" w:rsidR="00300AFA" w:rsidRPr="00714269" w:rsidRDefault="00300AFA" w:rsidP="00B71CD0">
            <w:pPr>
              <w:spacing w:line="276" w:lineRule="auto"/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  <w:t>Carta de manifiesto de conocimiento que la Entidad Financiera esa exenta de responsabilidad de las operaciones que se realicen</w:t>
            </w:r>
          </w:p>
        </w:tc>
      </w:tr>
      <w:tr w:rsidR="00166952" w:rsidRPr="00714269" w14:paraId="75BF6126" w14:textId="77777777" w:rsidTr="00EA7096">
        <w:trPr>
          <w:trHeight w:val="696"/>
          <w:jc w:val="center"/>
        </w:trPr>
        <w:tc>
          <w:tcPr>
            <w:tcW w:w="6763" w:type="dxa"/>
            <w:shd w:val="clear" w:color="auto" w:fill="auto"/>
            <w:vAlign w:val="center"/>
            <w:hideMark/>
          </w:tcPr>
          <w:p w14:paraId="71EEEB22" w14:textId="62C80D9E" w:rsidR="00300AFA" w:rsidRPr="00714269" w:rsidRDefault="00300AFA" w:rsidP="00B71CD0">
            <w:pPr>
              <w:spacing w:line="276" w:lineRule="auto"/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  <w:t>Carta de manifiesto de conocimiento de los riesgos de contratación servicios de inversión no asesorados</w:t>
            </w:r>
          </w:p>
        </w:tc>
      </w:tr>
      <w:tr w:rsidR="00166952" w:rsidRPr="00714269" w14:paraId="51219422" w14:textId="77777777" w:rsidTr="00EA7096">
        <w:trPr>
          <w:trHeight w:val="696"/>
          <w:jc w:val="center"/>
        </w:trPr>
        <w:tc>
          <w:tcPr>
            <w:tcW w:w="6763" w:type="dxa"/>
            <w:shd w:val="clear" w:color="auto" w:fill="auto"/>
            <w:vAlign w:val="center"/>
            <w:hideMark/>
          </w:tcPr>
          <w:p w14:paraId="49FEDAED" w14:textId="77777777" w:rsidR="00300AFA" w:rsidRPr="00714269" w:rsidRDefault="00300AFA" w:rsidP="00B71CD0">
            <w:pPr>
              <w:spacing w:line="276" w:lineRule="auto"/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  <w:t xml:space="preserve">Carta para registro del personal de contacto </w:t>
            </w:r>
          </w:p>
        </w:tc>
      </w:tr>
      <w:tr w:rsidR="00166952" w:rsidRPr="00714269" w14:paraId="03E9EA31" w14:textId="77777777" w:rsidTr="00EA7096">
        <w:trPr>
          <w:trHeight w:val="696"/>
          <w:jc w:val="center"/>
        </w:trPr>
        <w:tc>
          <w:tcPr>
            <w:tcW w:w="6763" w:type="dxa"/>
            <w:shd w:val="clear" w:color="auto" w:fill="auto"/>
            <w:vAlign w:val="center"/>
            <w:hideMark/>
          </w:tcPr>
          <w:p w14:paraId="103CB49F" w14:textId="77777777" w:rsidR="00300AFA" w:rsidRPr="00714269" w:rsidRDefault="00300AFA" w:rsidP="00B71CD0">
            <w:pPr>
              <w:spacing w:line="276" w:lineRule="auto"/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  <w:t xml:space="preserve">Carta de autorización de las operaciones de facilitación. </w:t>
            </w:r>
          </w:p>
        </w:tc>
      </w:tr>
      <w:tr w:rsidR="00166952" w:rsidRPr="00714269" w14:paraId="46D37E4D" w14:textId="77777777" w:rsidTr="00EA7096">
        <w:trPr>
          <w:trHeight w:val="696"/>
          <w:jc w:val="center"/>
        </w:trPr>
        <w:tc>
          <w:tcPr>
            <w:tcW w:w="6763" w:type="dxa"/>
            <w:shd w:val="clear" w:color="auto" w:fill="auto"/>
            <w:vAlign w:val="center"/>
            <w:hideMark/>
          </w:tcPr>
          <w:p w14:paraId="3FCA16A5" w14:textId="77777777" w:rsidR="00300AFA" w:rsidRPr="00714269" w:rsidRDefault="00300AFA" w:rsidP="00B71CD0">
            <w:pPr>
              <w:spacing w:line="276" w:lineRule="auto"/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  <w:t>Carta de manifiesto de la relación del contrato de referencia.</w:t>
            </w:r>
          </w:p>
        </w:tc>
      </w:tr>
    </w:tbl>
    <w:p w14:paraId="38E8D5DC" w14:textId="7DD06995" w:rsidR="00300AFA" w:rsidRPr="00714269" w:rsidRDefault="00300AFA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p w14:paraId="2B9794EA" w14:textId="77777777" w:rsidR="00B62564" w:rsidRPr="00714269" w:rsidRDefault="00B62564" w:rsidP="00B71CD0">
      <w:pPr>
        <w:spacing w:line="276" w:lineRule="auto"/>
        <w:jc w:val="both"/>
        <w:rPr>
          <w:rFonts w:ascii="Lato" w:hAnsi="Lato"/>
          <w:b/>
          <w:color w:val="595959" w:themeColor="text1" w:themeTint="A6"/>
          <w:sz w:val="22"/>
          <w:szCs w:val="22"/>
          <w:lang w:val="es-ES"/>
        </w:rPr>
      </w:pPr>
    </w:p>
    <w:p w14:paraId="4087496C" w14:textId="77777777" w:rsidR="00EA7096" w:rsidRPr="00714269" w:rsidRDefault="00EA7096" w:rsidP="00B71CD0">
      <w:pPr>
        <w:spacing w:line="276" w:lineRule="auto"/>
        <w:jc w:val="both"/>
        <w:rPr>
          <w:rFonts w:ascii="Lato" w:hAnsi="Lato"/>
          <w:b/>
          <w:color w:val="595959" w:themeColor="text1" w:themeTint="A6"/>
          <w:sz w:val="22"/>
          <w:szCs w:val="22"/>
          <w:lang w:val="es-ES"/>
        </w:rPr>
      </w:pPr>
    </w:p>
    <w:p w14:paraId="486F3542" w14:textId="77777777" w:rsidR="00EA7096" w:rsidRPr="00714269" w:rsidRDefault="00EA7096" w:rsidP="00B71CD0">
      <w:pPr>
        <w:spacing w:line="276" w:lineRule="auto"/>
        <w:jc w:val="both"/>
        <w:rPr>
          <w:rFonts w:ascii="Lato" w:hAnsi="Lato"/>
          <w:b/>
          <w:color w:val="595959" w:themeColor="text1" w:themeTint="A6"/>
          <w:sz w:val="22"/>
          <w:szCs w:val="22"/>
          <w:lang w:val="es-ES"/>
        </w:rPr>
      </w:pPr>
    </w:p>
    <w:p w14:paraId="3F6F73F0" w14:textId="21189DEC" w:rsidR="00300AFA" w:rsidRPr="00714269" w:rsidRDefault="00300AFA" w:rsidP="00B71CD0">
      <w:pPr>
        <w:spacing w:line="276" w:lineRule="auto"/>
        <w:jc w:val="both"/>
        <w:rPr>
          <w:rFonts w:ascii="Lato" w:hAnsi="Lato"/>
          <w:b/>
          <w:color w:val="595959" w:themeColor="text1" w:themeTint="A6"/>
          <w:sz w:val="22"/>
          <w:szCs w:val="22"/>
          <w:lang w:val="es-ES"/>
        </w:rPr>
      </w:pPr>
      <w:r w:rsidRPr="00714269">
        <w:rPr>
          <w:rFonts w:ascii="Lato" w:hAnsi="Lato"/>
          <w:b/>
          <w:color w:val="595959" w:themeColor="text1" w:themeTint="A6"/>
          <w:sz w:val="22"/>
          <w:szCs w:val="22"/>
          <w:lang w:val="es-ES"/>
        </w:rPr>
        <w:lastRenderedPageBreak/>
        <w:t>A3. Documentación para la apertura de cuentas de cheques – en México</w:t>
      </w:r>
    </w:p>
    <w:p w14:paraId="4328183B" w14:textId="147D562B" w:rsidR="00DC4B0B" w:rsidRPr="00714269" w:rsidRDefault="00DC4B0B" w:rsidP="00B71CD0">
      <w:pPr>
        <w:spacing w:line="276" w:lineRule="auto"/>
        <w:jc w:val="both"/>
        <w:rPr>
          <w:rFonts w:ascii="Lato" w:hAnsi="Lato"/>
          <w:i/>
          <w:color w:val="595959" w:themeColor="text1" w:themeTint="A6"/>
          <w:sz w:val="18"/>
          <w:szCs w:val="22"/>
          <w:lang w:val="es-ES"/>
        </w:rPr>
      </w:pPr>
      <w:r w:rsidRPr="00714269">
        <w:rPr>
          <w:rFonts w:ascii="Lato" w:hAnsi="Lato"/>
          <w:i/>
          <w:color w:val="595959" w:themeColor="text1" w:themeTint="A6"/>
          <w:sz w:val="18"/>
          <w:szCs w:val="22"/>
          <w:lang w:val="es-ES"/>
        </w:rPr>
        <w:t>Nota 1. Al 18 de agosto de 2021, FMCN cuenta con chequera en BBVA y Scotiabank</w:t>
      </w:r>
      <w:r w:rsidR="004C308D">
        <w:rPr>
          <w:rFonts w:ascii="Lato" w:hAnsi="Lato"/>
          <w:i/>
          <w:color w:val="595959" w:themeColor="text1" w:themeTint="A6"/>
          <w:sz w:val="18"/>
          <w:szCs w:val="22"/>
          <w:lang w:val="es-ES"/>
        </w:rPr>
        <w:t>.</w:t>
      </w:r>
    </w:p>
    <w:p w14:paraId="7436781B" w14:textId="77777777" w:rsidR="00DC4B0B" w:rsidRPr="00714269" w:rsidRDefault="00DC4B0B" w:rsidP="00B71CD0">
      <w:pPr>
        <w:spacing w:line="276" w:lineRule="auto"/>
        <w:jc w:val="both"/>
        <w:rPr>
          <w:rFonts w:ascii="Lato" w:hAnsi="Lato"/>
          <w:i/>
          <w:color w:val="595959" w:themeColor="text1" w:themeTint="A6"/>
          <w:sz w:val="18"/>
          <w:szCs w:val="22"/>
          <w:lang w:val="es-ES"/>
        </w:rPr>
      </w:pPr>
      <w:r w:rsidRPr="00714269">
        <w:rPr>
          <w:rFonts w:ascii="Lato" w:hAnsi="Lato"/>
          <w:i/>
          <w:color w:val="595959" w:themeColor="text1" w:themeTint="A6"/>
          <w:sz w:val="18"/>
          <w:szCs w:val="22"/>
          <w:lang w:val="es-ES"/>
        </w:rPr>
        <w:t>Nota 2. Los documentos para la formalización de apertura de cuenta bancaria varían según la institución financiera.</w:t>
      </w:r>
    </w:p>
    <w:p w14:paraId="386AA6A9" w14:textId="71C3D9C7" w:rsidR="00300AFA" w:rsidRPr="00714269" w:rsidRDefault="00300AFA" w:rsidP="00B71CD0">
      <w:pPr>
        <w:spacing w:line="276" w:lineRule="auto"/>
        <w:jc w:val="both"/>
        <w:rPr>
          <w:rFonts w:ascii="Lato" w:hAnsi="Lato"/>
          <w:b/>
          <w:color w:val="595959" w:themeColor="text1" w:themeTint="A6"/>
          <w:sz w:val="22"/>
          <w:szCs w:val="22"/>
          <w:lang w:val="es-ES"/>
        </w:rPr>
      </w:pPr>
    </w:p>
    <w:tbl>
      <w:tblPr>
        <w:tblW w:w="6628" w:type="dxa"/>
        <w:jc w:val="center"/>
        <w:tblBorders>
          <w:top w:val="single" w:sz="4" w:space="0" w:color="7F7F7F"/>
          <w:bottom w:val="single" w:sz="4" w:space="0" w:color="7F7F7F"/>
          <w:insideH w:val="single" w:sz="4" w:space="0" w:color="7F7F7F"/>
          <w:insideV w:val="single" w:sz="4" w:space="0" w:color="7F7F7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28"/>
      </w:tblGrid>
      <w:tr w:rsidR="00166952" w:rsidRPr="00714269" w14:paraId="5EB43D95" w14:textId="77777777" w:rsidTr="00EA7096">
        <w:trPr>
          <w:trHeight w:val="475"/>
          <w:jc w:val="center"/>
        </w:trPr>
        <w:tc>
          <w:tcPr>
            <w:tcW w:w="6628" w:type="dxa"/>
            <w:shd w:val="clear" w:color="auto" w:fill="D9D9D9" w:themeFill="background1" w:themeFillShade="D9"/>
            <w:vAlign w:val="center"/>
            <w:hideMark/>
          </w:tcPr>
          <w:p w14:paraId="3675C285" w14:textId="77777777" w:rsidR="00300AFA" w:rsidRPr="00714269" w:rsidRDefault="00300AFA" w:rsidP="00B71CD0">
            <w:pPr>
              <w:spacing w:line="276" w:lineRule="auto"/>
              <w:jc w:val="center"/>
              <w:rPr>
                <w:rFonts w:ascii="Lato" w:eastAsia="Times New Roman" w:hAnsi="Lato" w:cs="Calibri"/>
                <w:b/>
                <w:bCs/>
                <w:color w:val="595959" w:themeColor="text1" w:themeTint="A6"/>
                <w:sz w:val="18"/>
                <w:szCs w:val="18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b/>
                <w:bCs/>
                <w:color w:val="595959" w:themeColor="text1" w:themeTint="A6"/>
                <w:sz w:val="18"/>
                <w:szCs w:val="18"/>
                <w:lang w:val="es-ES" w:eastAsia="es-MX"/>
              </w:rPr>
              <w:t>Documentos para la apertura de cuentas de cheques</w:t>
            </w:r>
          </w:p>
        </w:tc>
      </w:tr>
      <w:tr w:rsidR="00166952" w:rsidRPr="00714269" w14:paraId="2344CAF4" w14:textId="77777777" w:rsidTr="00EA7096">
        <w:trPr>
          <w:trHeight w:val="475"/>
          <w:jc w:val="center"/>
        </w:trPr>
        <w:tc>
          <w:tcPr>
            <w:tcW w:w="6628" w:type="dxa"/>
            <w:shd w:val="clear" w:color="auto" w:fill="auto"/>
            <w:vAlign w:val="center"/>
            <w:hideMark/>
          </w:tcPr>
          <w:p w14:paraId="43AB7218" w14:textId="2FBF4C3A" w:rsidR="00300AFA" w:rsidRPr="00714269" w:rsidRDefault="00300AFA" w:rsidP="00B71CD0">
            <w:pPr>
              <w:spacing w:line="276" w:lineRule="auto"/>
              <w:ind w:firstLineChars="100" w:firstLine="180"/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  <w:t>Carta de solicitud de apertura de cue</w:t>
            </w:r>
            <w:r w:rsidR="00DC4B0B" w:rsidRPr="00714269"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  <w:t xml:space="preserve">nta de inversión </w:t>
            </w:r>
          </w:p>
        </w:tc>
      </w:tr>
      <w:tr w:rsidR="00166952" w:rsidRPr="00714269" w14:paraId="7CC917D8" w14:textId="77777777" w:rsidTr="00EA7096">
        <w:trPr>
          <w:trHeight w:val="475"/>
          <w:jc w:val="center"/>
        </w:trPr>
        <w:tc>
          <w:tcPr>
            <w:tcW w:w="6628" w:type="dxa"/>
            <w:shd w:val="clear" w:color="auto" w:fill="auto"/>
            <w:vAlign w:val="center"/>
            <w:hideMark/>
          </w:tcPr>
          <w:p w14:paraId="212AAA04" w14:textId="58DC2123" w:rsidR="00300AFA" w:rsidRPr="00714269" w:rsidRDefault="00300AFA" w:rsidP="00B71CD0">
            <w:pPr>
              <w:spacing w:line="276" w:lineRule="auto"/>
              <w:ind w:firstLineChars="100" w:firstLine="180"/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  <w:t>Caratula del contrato de Productos y servicios múltiples</w:t>
            </w:r>
          </w:p>
        </w:tc>
      </w:tr>
      <w:tr w:rsidR="00166952" w:rsidRPr="00714269" w14:paraId="4C0434CE" w14:textId="77777777" w:rsidTr="00EA7096">
        <w:trPr>
          <w:trHeight w:val="475"/>
          <w:jc w:val="center"/>
        </w:trPr>
        <w:tc>
          <w:tcPr>
            <w:tcW w:w="6628" w:type="dxa"/>
            <w:shd w:val="clear" w:color="auto" w:fill="auto"/>
            <w:vAlign w:val="center"/>
            <w:hideMark/>
          </w:tcPr>
          <w:p w14:paraId="49A4A2BE" w14:textId="77777777" w:rsidR="00300AFA" w:rsidRPr="00714269" w:rsidRDefault="00300AFA" w:rsidP="00B71CD0">
            <w:pPr>
              <w:spacing w:line="276" w:lineRule="auto"/>
              <w:ind w:firstLineChars="100" w:firstLine="180"/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  <w:t>Contrato cuenta de cheques en moneda nacional PM</w:t>
            </w:r>
          </w:p>
        </w:tc>
      </w:tr>
      <w:tr w:rsidR="00166952" w:rsidRPr="00714269" w14:paraId="0D45C7CF" w14:textId="77777777" w:rsidTr="00EA7096">
        <w:trPr>
          <w:trHeight w:val="475"/>
          <w:jc w:val="center"/>
        </w:trPr>
        <w:tc>
          <w:tcPr>
            <w:tcW w:w="6628" w:type="dxa"/>
            <w:shd w:val="clear" w:color="auto" w:fill="auto"/>
            <w:vAlign w:val="center"/>
            <w:hideMark/>
          </w:tcPr>
          <w:p w14:paraId="586A9E3F" w14:textId="77777777" w:rsidR="00300AFA" w:rsidRPr="00714269" w:rsidRDefault="00300AFA" w:rsidP="00B71CD0">
            <w:pPr>
              <w:spacing w:line="276" w:lineRule="auto"/>
              <w:ind w:firstLineChars="100" w:firstLine="180"/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  <w:t>FACTA</w:t>
            </w:r>
          </w:p>
        </w:tc>
      </w:tr>
      <w:tr w:rsidR="00166952" w:rsidRPr="00714269" w14:paraId="5E83073C" w14:textId="77777777" w:rsidTr="00EA7096">
        <w:trPr>
          <w:trHeight w:val="475"/>
          <w:jc w:val="center"/>
        </w:trPr>
        <w:tc>
          <w:tcPr>
            <w:tcW w:w="6628" w:type="dxa"/>
            <w:shd w:val="clear" w:color="auto" w:fill="auto"/>
            <w:vAlign w:val="center"/>
            <w:hideMark/>
          </w:tcPr>
          <w:p w14:paraId="490EF969" w14:textId="77777777" w:rsidR="00300AFA" w:rsidRPr="00714269" w:rsidRDefault="00300AFA" w:rsidP="00B71CD0">
            <w:pPr>
              <w:spacing w:line="276" w:lineRule="auto"/>
              <w:ind w:firstLineChars="100" w:firstLine="180"/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  <w:t xml:space="preserve">Protección de cheques </w:t>
            </w:r>
          </w:p>
        </w:tc>
      </w:tr>
      <w:tr w:rsidR="00166952" w:rsidRPr="00714269" w14:paraId="5E178A33" w14:textId="77777777" w:rsidTr="00EA7096">
        <w:trPr>
          <w:trHeight w:val="475"/>
          <w:jc w:val="center"/>
        </w:trPr>
        <w:tc>
          <w:tcPr>
            <w:tcW w:w="6628" w:type="dxa"/>
            <w:shd w:val="clear" w:color="auto" w:fill="auto"/>
            <w:vAlign w:val="center"/>
            <w:hideMark/>
          </w:tcPr>
          <w:p w14:paraId="63B97DAF" w14:textId="77777777" w:rsidR="00300AFA" w:rsidRPr="00714269" w:rsidRDefault="00300AFA" w:rsidP="00B71CD0">
            <w:pPr>
              <w:spacing w:line="276" w:lineRule="auto"/>
              <w:ind w:firstLineChars="100" w:firstLine="180"/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</w:pPr>
            <w:r w:rsidRPr="00714269">
              <w:rPr>
                <w:rFonts w:ascii="Lato" w:eastAsia="Times New Roman" w:hAnsi="Lato" w:cs="Calibri"/>
                <w:color w:val="595959" w:themeColor="text1" w:themeTint="A6"/>
                <w:sz w:val="18"/>
                <w:szCs w:val="18"/>
                <w:lang w:val="es-ES" w:eastAsia="es-MX"/>
              </w:rPr>
              <w:t>Tarjeta de firmas</w:t>
            </w:r>
          </w:p>
        </w:tc>
      </w:tr>
    </w:tbl>
    <w:p w14:paraId="05B8954A" w14:textId="77777777" w:rsidR="00300AFA" w:rsidRPr="00714269" w:rsidRDefault="00300AFA" w:rsidP="00B71CD0">
      <w:pPr>
        <w:spacing w:line="276" w:lineRule="auto"/>
        <w:jc w:val="both"/>
        <w:rPr>
          <w:rFonts w:ascii="Lato" w:hAnsi="Lato"/>
          <w:color w:val="595959" w:themeColor="text1" w:themeTint="A6"/>
          <w:sz w:val="22"/>
          <w:szCs w:val="22"/>
          <w:lang w:val="es-ES"/>
        </w:rPr>
      </w:pPr>
    </w:p>
    <w:sectPr w:rsidR="00300AFA" w:rsidRPr="00714269" w:rsidSect="0020380E">
      <w:headerReference w:type="default" r:id="rId12"/>
      <w:footerReference w:type="even" r:id="rId13"/>
      <w:footerReference w:type="defaul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CE69C" w14:textId="77777777" w:rsidR="007B1B58" w:rsidRDefault="007B1B58" w:rsidP="00503AF3">
      <w:r>
        <w:separator/>
      </w:r>
    </w:p>
  </w:endnote>
  <w:endnote w:type="continuationSeparator" w:id="0">
    <w:p w14:paraId="516B860D" w14:textId="77777777" w:rsidR="007B1B58" w:rsidRDefault="007B1B58" w:rsidP="00503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Segoe UI"/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199522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7C023F" w14:textId="0084E92F" w:rsidR="00166952" w:rsidRDefault="00166952" w:rsidP="00E83C71">
        <w:pPr>
          <w:pStyle w:val="Piedepgina"/>
          <w:framePr w:wrap="none" w:vAnchor="text" w:hAnchor="margin" w:xAlign="center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C1443DC" w14:textId="77777777" w:rsidR="00166952" w:rsidRDefault="0016695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1234889981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440F7D7C" w14:textId="25190228" w:rsidR="00166952" w:rsidRDefault="00166952" w:rsidP="00E83C71">
        <w:pPr>
          <w:pStyle w:val="Piedepgina"/>
          <w:framePr w:wrap="none" w:vAnchor="text" w:hAnchor="margin" w:xAlign="center" w:y="1"/>
          <w:rPr>
            <w:rStyle w:val="Nmerodepgina"/>
          </w:rPr>
        </w:pPr>
        <w:r w:rsidRPr="00166952">
          <w:rPr>
            <w:rStyle w:val="Nmerodepgina"/>
            <w:color w:val="595959" w:themeColor="text1" w:themeTint="A6"/>
            <w:sz w:val="22"/>
            <w:szCs w:val="22"/>
          </w:rPr>
          <w:fldChar w:fldCharType="begin"/>
        </w:r>
        <w:r w:rsidRPr="00166952">
          <w:rPr>
            <w:rStyle w:val="Nmerodepgina"/>
            <w:color w:val="595959" w:themeColor="text1" w:themeTint="A6"/>
            <w:sz w:val="22"/>
            <w:szCs w:val="22"/>
          </w:rPr>
          <w:instrText xml:space="preserve"> PAGE </w:instrText>
        </w:r>
        <w:r w:rsidRPr="00166952">
          <w:rPr>
            <w:rStyle w:val="Nmerodepgina"/>
            <w:color w:val="595959" w:themeColor="text1" w:themeTint="A6"/>
            <w:sz w:val="22"/>
            <w:szCs w:val="22"/>
          </w:rPr>
          <w:fldChar w:fldCharType="separate"/>
        </w:r>
        <w:r w:rsidR="002F5797">
          <w:rPr>
            <w:rStyle w:val="Nmerodepgina"/>
            <w:noProof/>
            <w:color w:val="595959" w:themeColor="text1" w:themeTint="A6"/>
            <w:sz w:val="22"/>
            <w:szCs w:val="22"/>
          </w:rPr>
          <w:t>1</w:t>
        </w:r>
        <w:r w:rsidRPr="00166952">
          <w:rPr>
            <w:rStyle w:val="Nmerodepgina"/>
            <w:color w:val="595959" w:themeColor="text1" w:themeTint="A6"/>
            <w:sz w:val="22"/>
            <w:szCs w:val="22"/>
          </w:rPr>
          <w:fldChar w:fldCharType="end"/>
        </w:r>
      </w:p>
    </w:sdtContent>
  </w:sdt>
  <w:p w14:paraId="5C6FB213" w14:textId="77777777" w:rsidR="00166952" w:rsidRDefault="0016695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AE01FB" w14:textId="77777777" w:rsidR="007B1B58" w:rsidRDefault="007B1B58" w:rsidP="00503AF3">
      <w:r>
        <w:separator/>
      </w:r>
    </w:p>
  </w:footnote>
  <w:footnote w:type="continuationSeparator" w:id="0">
    <w:p w14:paraId="2E410032" w14:textId="77777777" w:rsidR="007B1B58" w:rsidRDefault="007B1B58" w:rsidP="00503A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BF8E1" w14:textId="1CF1C32D" w:rsidR="00830512" w:rsidRDefault="002E7040" w:rsidP="00486E25">
    <w:pPr>
      <w:pStyle w:val="Encabezado"/>
      <w:jc w:val="center"/>
    </w:pPr>
    <w:r w:rsidRPr="00D77CD4">
      <w:rPr>
        <w:noProof/>
        <w:lang w:eastAsia="es-MX"/>
      </w:rPr>
      <w:drawing>
        <wp:anchor distT="0" distB="0" distL="114300" distR="114300" simplePos="0" relativeHeight="251670528" behindDoc="0" locked="0" layoutInCell="1" allowOverlap="1" wp14:anchorId="45E113CD" wp14:editId="3B6A9CC5">
          <wp:simplePos x="0" y="0"/>
          <wp:positionH relativeFrom="column">
            <wp:posOffset>-1078576</wp:posOffset>
          </wp:positionH>
          <wp:positionV relativeFrom="paragraph">
            <wp:posOffset>-431800</wp:posOffset>
          </wp:positionV>
          <wp:extent cx="7780564" cy="1072805"/>
          <wp:effectExtent l="0" t="0" r="0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80564" cy="1072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23383"/>
    <w:multiLevelType w:val="hybridMultilevel"/>
    <w:tmpl w:val="BB96FE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46E07"/>
    <w:multiLevelType w:val="hybridMultilevel"/>
    <w:tmpl w:val="50B6D2C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3683F"/>
    <w:multiLevelType w:val="hybridMultilevel"/>
    <w:tmpl w:val="280A938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F4081"/>
    <w:multiLevelType w:val="hybridMultilevel"/>
    <w:tmpl w:val="AE9ACAA0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D123034"/>
    <w:multiLevelType w:val="hybridMultilevel"/>
    <w:tmpl w:val="277AC898"/>
    <w:lvl w:ilvl="0" w:tplc="9F4825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A0B11"/>
    <w:multiLevelType w:val="hybridMultilevel"/>
    <w:tmpl w:val="3E60588A"/>
    <w:lvl w:ilvl="0" w:tplc="080A0017">
      <w:start w:val="1"/>
      <w:numFmt w:val="lowerLetter"/>
      <w:lvlText w:val="%1)"/>
      <w:lvlJc w:val="left"/>
      <w:pPr>
        <w:ind w:left="1068" w:hanging="360"/>
      </w:p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380581F"/>
    <w:multiLevelType w:val="hybridMultilevel"/>
    <w:tmpl w:val="CE66B88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7146A"/>
    <w:multiLevelType w:val="hybridMultilevel"/>
    <w:tmpl w:val="BB565048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616F0B"/>
    <w:multiLevelType w:val="hybridMultilevel"/>
    <w:tmpl w:val="F134DF0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CA4C8C"/>
    <w:multiLevelType w:val="hybridMultilevel"/>
    <w:tmpl w:val="B9A685DC"/>
    <w:lvl w:ilvl="0" w:tplc="0C0A0001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0" w15:restartNumberingAfterBreak="0">
    <w:nsid w:val="35483CD3"/>
    <w:multiLevelType w:val="hybridMultilevel"/>
    <w:tmpl w:val="3E60588A"/>
    <w:lvl w:ilvl="0" w:tplc="080A0017">
      <w:start w:val="1"/>
      <w:numFmt w:val="lowerLetter"/>
      <w:lvlText w:val="%1)"/>
      <w:lvlJc w:val="left"/>
      <w:pPr>
        <w:ind w:left="1068" w:hanging="360"/>
      </w:p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AC9723A"/>
    <w:multiLevelType w:val="hybridMultilevel"/>
    <w:tmpl w:val="CE66B88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A26C4C"/>
    <w:multiLevelType w:val="hybridMultilevel"/>
    <w:tmpl w:val="64186184"/>
    <w:lvl w:ilvl="0" w:tplc="27C035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003C7"/>
    <w:multiLevelType w:val="hybridMultilevel"/>
    <w:tmpl w:val="3890489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3BC2653"/>
    <w:multiLevelType w:val="hybridMultilevel"/>
    <w:tmpl w:val="6008A80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BA5240"/>
    <w:multiLevelType w:val="hybridMultilevel"/>
    <w:tmpl w:val="72F48BD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D75B4C"/>
    <w:multiLevelType w:val="hybridMultilevel"/>
    <w:tmpl w:val="C448879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4F448B"/>
    <w:multiLevelType w:val="hybridMultilevel"/>
    <w:tmpl w:val="764EEF96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55E1FB4"/>
    <w:multiLevelType w:val="hybridMultilevel"/>
    <w:tmpl w:val="3E60588A"/>
    <w:lvl w:ilvl="0" w:tplc="080A0017">
      <w:start w:val="1"/>
      <w:numFmt w:val="lowerLetter"/>
      <w:lvlText w:val="%1)"/>
      <w:lvlJc w:val="left"/>
      <w:pPr>
        <w:ind w:left="1068" w:hanging="360"/>
      </w:p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6615C2E"/>
    <w:multiLevelType w:val="hybridMultilevel"/>
    <w:tmpl w:val="3D264114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D5F2A0D"/>
    <w:multiLevelType w:val="hybridMultilevel"/>
    <w:tmpl w:val="A1F4AB0E"/>
    <w:lvl w:ilvl="0" w:tplc="ED6A79A0">
      <w:start w:val="2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 w:tplc="595C8AB0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D8975EA"/>
    <w:multiLevelType w:val="hybridMultilevel"/>
    <w:tmpl w:val="E012A67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9E3689"/>
    <w:multiLevelType w:val="hybridMultilevel"/>
    <w:tmpl w:val="037AB2A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4004D1"/>
    <w:multiLevelType w:val="hybridMultilevel"/>
    <w:tmpl w:val="E7C40248"/>
    <w:lvl w:ilvl="0" w:tplc="04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C5A60EC8">
      <w:start w:val="1"/>
      <w:numFmt w:val="lowerLetter"/>
      <w:lvlText w:val="%7)"/>
      <w:lvlJc w:val="left"/>
      <w:pPr>
        <w:ind w:left="720" w:hanging="360"/>
      </w:pPr>
      <w:rPr>
        <w:rFonts w:ascii="Lato" w:eastAsiaTheme="minorEastAsia" w:hAnsi="Lato" w:cstheme="minorBidi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7316A7"/>
    <w:multiLevelType w:val="hybridMultilevel"/>
    <w:tmpl w:val="F6ACECDE"/>
    <w:lvl w:ilvl="0" w:tplc="4DB461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C75B9E"/>
    <w:multiLevelType w:val="hybridMultilevel"/>
    <w:tmpl w:val="2C46E924"/>
    <w:lvl w:ilvl="0" w:tplc="8D323B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D133A3"/>
    <w:multiLevelType w:val="hybridMultilevel"/>
    <w:tmpl w:val="3E60588A"/>
    <w:lvl w:ilvl="0" w:tplc="080A0017">
      <w:start w:val="1"/>
      <w:numFmt w:val="lowerLetter"/>
      <w:lvlText w:val="%1)"/>
      <w:lvlJc w:val="left"/>
      <w:pPr>
        <w:ind w:left="1068" w:hanging="360"/>
      </w:p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E3800CF"/>
    <w:multiLevelType w:val="hybridMultilevel"/>
    <w:tmpl w:val="DE109AB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2"/>
  </w:num>
  <w:num w:numId="4">
    <w:abstractNumId w:val="15"/>
  </w:num>
  <w:num w:numId="5">
    <w:abstractNumId w:val="12"/>
  </w:num>
  <w:num w:numId="6">
    <w:abstractNumId w:val="7"/>
  </w:num>
  <w:num w:numId="7">
    <w:abstractNumId w:val="9"/>
  </w:num>
  <w:num w:numId="8">
    <w:abstractNumId w:val="19"/>
  </w:num>
  <w:num w:numId="9">
    <w:abstractNumId w:val="3"/>
  </w:num>
  <w:num w:numId="10">
    <w:abstractNumId w:val="20"/>
  </w:num>
  <w:num w:numId="11">
    <w:abstractNumId w:val="13"/>
  </w:num>
  <w:num w:numId="12">
    <w:abstractNumId w:val="17"/>
  </w:num>
  <w:num w:numId="13">
    <w:abstractNumId w:val="16"/>
  </w:num>
  <w:num w:numId="14">
    <w:abstractNumId w:val="0"/>
  </w:num>
  <w:num w:numId="15">
    <w:abstractNumId w:val="0"/>
  </w:num>
  <w:num w:numId="16">
    <w:abstractNumId w:val="21"/>
  </w:num>
  <w:num w:numId="17">
    <w:abstractNumId w:val="23"/>
  </w:num>
  <w:num w:numId="18">
    <w:abstractNumId w:val="1"/>
  </w:num>
  <w:num w:numId="19">
    <w:abstractNumId w:val="25"/>
  </w:num>
  <w:num w:numId="20">
    <w:abstractNumId w:val="22"/>
  </w:num>
  <w:num w:numId="21">
    <w:abstractNumId w:val="14"/>
  </w:num>
  <w:num w:numId="22">
    <w:abstractNumId w:val="8"/>
  </w:num>
  <w:num w:numId="23">
    <w:abstractNumId w:val="26"/>
  </w:num>
  <w:num w:numId="24">
    <w:abstractNumId w:val="6"/>
  </w:num>
  <w:num w:numId="25">
    <w:abstractNumId w:val="24"/>
  </w:num>
  <w:num w:numId="26">
    <w:abstractNumId w:val="5"/>
  </w:num>
  <w:num w:numId="27">
    <w:abstractNumId w:val="11"/>
  </w:num>
  <w:num w:numId="28">
    <w:abstractNumId w:val="10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AF3"/>
    <w:rsid w:val="000012AD"/>
    <w:rsid w:val="000304CF"/>
    <w:rsid w:val="0003220B"/>
    <w:rsid w:val="000328BA"/>
    <w:rsid w:val="000370C3"/>
    <w:rsid w:val="00045E8D"/>
    <w:rsid w:val="000508CA"/>
    <w:rsid w:val="00093CD1"/>
    <w:rsid w:val="000B2FC6"/>
    <w:rsid w:val="001008C3"/>
    <w:rsid w:val="00126F40"/>
    <w:rsid w:val="0013311E"/>
    <w:rsid w:val="00166952"/>
    <w:rsid w:val="0017138B"/>
    <w:rsid w:val="00175D92"/>
    <w:rsid w:val="00184ABE"/>
    <w:rsid w:val="001A061A"/>
    <w:rsid w:val="001A6D92"/>
    <w:rsid w:val="001E6B13"/>
    <w:rsid w:val="00201AFF"/>
    <w:rsid w:val="0020380E"/>
    <w:rsid w:val="00234BAC"/>
    <w:rsid w:val="00257312"/>
    <w:rsid w:val="0027753C"/>
    <w:rsid w:val="002C5D61"/>
    <w:rsid w:val="002E7040"/>
    <w:rsid w:val="002F5797"/>
    <w:rsid w:val="002F6395"/>
    <w:rsid w:val="00300AFA"/>
    <w:rsid w:val="0032747D"/>
    <w:rsid w:val="0034140D"/>
    <w:rsid w:val="00342D09"/>
    <w:rsid w:val="003444AD"/>
    <w:rsid w:val="00381331"/>
    <w:rsid w:val="003B16C0"/>
    <w:rsid w:val="003D306A"/>
    <w:rsid w:val="003D5230"/>
    <w:rsid w:val="003E4B08"/>
    <w:rsid w:val="0046244D"/>
    <w:rsid w:val="00462A44"/>
    <w:rsid w:val="00466000"/>
    <w:rsid w:val="00473941"/>
    <w:rsid w:val="0048691A"/>
    <w:rsid w:val="00486E25"/>
    <w:rsid w:val="004A2CCF"/>
    <w:rsid w:val="004A683E"/>
    <w:rsid w:val="004A7651"/>
    <w:rsid w:val="004C308D"/>
    <w:rsid w:val="004E28D6"/>
    <w:rsid w:val="00503AF3"/>
    <w:rsid w:val="00527EC5"/>
    <w:rsid w:val="00537C0B"/>
    <w:rsid w:val="00570F79"/>
    <w:rsid w:val="00587BD5"/>
    <w:rsid w:val="0059483D"/>
    <w:rsid w:val="005C2A28"/>
    <w:rsid w:val="005C2F11"/>
    <w:rsid w:val="005C6314"/>
    <w:rsid w:val="005D1DE0"/>
    <w:rsid w:val="005F6EC7"/>
    <w:rsid w:val="00643BA4"/>
    <w:rsid w:val="00662101"/>
    <w:rsid w:val="00672F80"/>
    <w:rsid w:val="00685B17"/>
    <w:rsid w:val="006A743A"/>
    <w:rsid w:val="006B56A8"/>
    <w:rsid w:val="006C4332"/>
    <w:rsid w:val="006D0229"/>
    <w:rsid w:val="006D6058"/>
    <w:rsid w:val="006E5807"/>
    <w:rsid w:val="006F5083"/>
    <w:rsid w:val="00711D9B"/>
    <w:rsid w:val="00712C94"/>
    <w:rsid w:val="00714269"/>
    <w:rsid w:val="00744874"/>
    <w:rsid w:val="007B1B58"/>
    <w:rsid w:val="007F36B2"/>
    <w:rsid w:val="00830512"/>
    <w:rsid w:val="00840DDB"/>
    <w:rsid w:val="00863CBC"/>
    <w:rsid w:val="0090179A"/>
    <w:rsid w:val="009138E6"/>
    <w:rsid w:val="00954618"/>
    <w:rsid w:val="00965EBB"/>
    <w:rsid w:val="00975371"/>
    <w:rsid w:val="009B30B4"/>
    <w:rsid w:val="009B4AC5"/>
    <w:rsid w:val="009E21F5"/>
    <w:rsid w:val="009E4F20"/>
    <w:rsid w:val="009F50F3"/>
    <w:rsid w:val="00A00B77"/>
    <w:rsid w:val="00A15761"/>
    <w:rsid w:val="00A36B8A"/>
    <w:rsid w:val="00A46F9F"/>
    <w:rsid w:val="00A54A42"/>
    <w:rsid w:val="00A54ACF"/>
    <w:rsid w:val="00A57152"/>
    <w:rsid w:val="00A7557F"/>
    <w:rsid w:val="00AA040D"/>
    <w:rsid w:val="00AD6E42"/>
    <w:rsid w:val="00AF1AF6"/>
    <w:rsid w:val="00AF2F4C"/>
    <w:rsid w:val="00AF61A5"/>
    <w:rsid w:val="00B034CB"/>
    <w:rsid w:val="00B17061"/>
    <w:rsid w:val="00B26505"/>
    <w:rsid w:val="00B371F0"/>
    <w:rsid w:val="00B536C0"/>
    <w:rsid w:val="00B62564"/>
    <w:rsid w:val="00B71CD0"/>
    <w:rsid w:val="00B73B38"/>
    <w:rsid w:val="00B82B51"/>
    <w:rsid w:val="00B92E63"/>
    <w:rsid w:val="00BA72C5"/>
    <w:rsid w:val="00BE30CC"/>
    <w:rsid w:val="00C02A9D"/>
    <w:rsid w:val="00C27610"/>
    <w:rsid w:val="00C34728"/>
    <w:rsid w:val="00C738E4"/>
    <w:rsid w:val="00C74DAD"/>
    <w:rsid w:val="00CA3116"/>
    <w:rsid w:val="00CC0230"/>
    <w:rsid w:val="00CC425E"/>
    <w:rsid w:val="00CE6058"/>
    <w:rsid w:val="00D120A4"/>
    <w:rsid w:val="00D232A7"/>
    <w:rsid w:val="00D24AD3"/>
    <w:rsid w:val="00D42BDA"/>
    <w:rsid w:val="00DC4B0B"/>
    <w:rsid w:val="00DF3E21"/>
    <w:rsid w:val="00E30E9D"/>
    <w:rsid w:val="00E343A8"/>
    <w:rsid w:val="00E45E83"/>
    <w:rsid w:val="00E646DC"/>
    <w:rsid w:val="00E73C62"/>
    <w:rsid w:val="00EA7096"/>
    <w:rsid w:val="00EE214D"/>
    <w:rsid w:val="00EF1FFC"/>
    <w:rsid w:val="00F009BE"/>
    <w:rsid w:val="00F0123A"/>
    <w:rsid w:val="00F45E5A"/>
    <w:rsid w:val="00F60FB9"/>
    <w:rsid w:val="00F626CC"/>
    <w:rsid w:val="00F8031E"/>
    <w:rsid w:val="00FA2E16"/>
    <w:rsid w:val="00FB5B0D"/>
    <w:rsid w:val="00FC76C4"/>
    <w:rsid w:val="00FE7940"/>
    <w:rsid w:val="00FF0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36028D"/>
  <w14:defaultImageDpi w14:val="300"/>
  <w15:docId w15:val="{56385EE5-58FE-442F-87D7-3733C60F3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s-MX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F009BE"/>
    <w:pPr>
      <w:keepNext/>
      <w:spacing w:before="240" w:after="120"/>
      <w:jc w:val="center"/>
      <w:outlineLvl w:val="0"/>
    </w:pPr>
    <w:rPr>
      <w:rFonts w:ascii="Arial" w:eastAsia="Times New Roman" w:hAnsi="Arial" w:cs="Arial"/>
      <w:b/>
      <w:bCs/>
      <w:caps/>
      <w:kern w:val="32"/>
      <w:szCs w:val="32"/>
      <w:u w:val="single"/>
      <w:lang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87BD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03AF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03AF3"/>
  </w:style>
  <w:style w:type="paragraph" w:styleId="Piedepgina">
    <w:name w:val="footer"/>
    <w:basedOn w:val="Normal"/>
    <w:link w:val="PiedepginaCar"/>
    <w:uiPriority w:val="99"/>
    <w:unhideWhenUsed/>
    <w:rsid w:val="00503AF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03AF3"/>
  </w:style>
  <w:style w:type="paragraph" w:styleId="Textodeglobo">
    <w:name w:val="Balloon Text"/>
    <w:basedOn w:val="Normal"/>
    <w:link w:val="TextodegloboCar"/>
    <w:uiPriority w:val="99"/>
    <w:semiHidden/>
    <w:unhideWhenUsed/>
    <w:rsid w:val="00503AF3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3AF3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503AF3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table" w:styleId="Tablaconcuadrcula">
    <w:name w:val="Table Grid"/>
    <w:aliases w:val="Tabla CFE"/>
    <w:basedOn w:val="Tablanormal"/>
    <w:rsid w:val="0046244D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Numbered Para 1,Dot pt,No Spacing1,List Paragraph Char Char Char,Indicator Text,List Paragraph1,Bullet Points,Bullet 1,MAIN CONTENT,List Paragraph12,F5 List Paragraph,lp1,List Paragraph (numbered (a)),List number Paragraph,References,Ha"/>
    <w:basedOn w:val="Normal"/>
    <w:link w:val="PrrafodelistaCar"/>
    <w:uiPriority w:val="34"/>
    <w:qFormat/>
    <w:rsid w:val="0046244D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character" w:customStyle="1" w:styleId="Ttulo1Car">
    <w:name w:val="Título 1 Car"/>
    <w:basedOn w:val="Fuentedeprrafopredeter"/>
    <w:link w:val="Ttulo1"/>
    <w:rsid w:val="00F009BE"/>
    <w:rPr>
      <w:rFonts w:ascii="Arial" w:eastAsia="Times New Roman" w:hAnsi="Arial" w:cs="Arial"/>
      <w:b/>
      <w:bCs/>
      <w:caps/>
      <w:kern w:val="32"/>
      <w:szCs w:val="32"/>
      <w:u w:val="single"/>
      <w:lang w:eastAsia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87BD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PrrafodelistaCar">
    <w:name w:val="Párrafo de lista Car"/>
    <w:aliases w:val="Numbered Para 1 Car,Dot pt Car,No Spacing1 Car,List Paragraph Char Char Char Car,Indicator Text Car,List Paragraph1 Car,Bullet Points Car,Bullet 1 Car,MAIN CONTENT Car,List Paragraph12 Car,F5 List Paragraph Car,lp1 Car,Ha Car"/>
    <w:link w:val="Prrafodelista"/>
    <w:uiPriority w:val="34"/>
    <w:qFormat/>
    <w:locked/>
    <w:rsid w:val="00587BD5"/>
    <w:rPr>
      <w:rFonts w:eastAsiaTheme="minorHAnsi"/>
      <w:sz w:val="22"/>
      <w:szCs w:val="22"/>
      <w:lang w:eastAsia="en-US"/>
    </w:rPr>
  </w:style>
  <w:style w:type="paragraph" w:styleId="Revisin">
    <w:name w:val="Revision"/>
    <w:hidden/>
    <w:uiPriority w:val="99"/>
    <w:semiHidden/>
    <w:rsid w:val="00093CD1"/>
  </w:style>
  <w:style w:type="character" w:styleId="Refdecomentario">
    <w:name w:val="annotation reference"/>
    <w:basedOn w:val="Fuentedeprrafopredeter"/>
    <w:uiPriority w:val="99"/>
    <w:semiHidden/>
    <w:unhideWhenUsed/>
    <w:rsid w:val="00093CD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93CD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93CD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93CD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93CD1"/>
    <w:rPr>
      <w:b/>
      <w:bCs/>
      <w:sz w:val="20"/>
      <w:szCs w:val="20"/>
    </w:rPr>
  </w:style>
  <w:style w:type="character" w:styleId="Nmerodepgina">
    <w:name w:val="page number"/>
    <w:basedOn w:val="Fuentedeprrafopredeter"/>
    <w:uiPriority w:val="99"/>
    <w:semiHidden/>
    <w:unhideWhenUsed/>
    <w:rsid w:val="001669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1B90FFFA978543953B3FC21A22E6C8" ma:contentTypeVersion="9" ma:contentTypeDescription="Create a new document." ma:contentTypeScope="" ma:versionID="2fd04bedf4fb6c58f44932cc46b18fb3">
  <xsd:schema xmlns:xsd="http://www.w3.org/2001/XMLSchema" xmlns:xs="http://www.w3.org/2001/XMLSchema" xmlns:p="http://schemas.microsoft.com/office/2006/metadata/properties" xmlns:ns2="7f487bdf-1809-4dd1-aba0-ad1967c781a2" xmlns:ns3="2376775c-cd55-4200-92a0-92a7fee69509" targetNamespace="http://schemas.microsoft.com/office/2006/metadata/properties" ma:root="true" ma:fieldsID="6638d4ee501aa15d0a17e68ba51648f2" ns2:_="" ns3:_="">
    <xsd:import namespace="7f487bdf-1809-4dd1-aba0-ad1967c781a2"/>
    <xsd:import namespace="2376775c-cd55-4200-92a0-92a7fee695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87bdf-1809-4dd1-aba0-ad1967c78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76775c-cd55-4200-92a0-92a7fee6950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4AC9B8-56CC-4C1E-8553-5E6BF32219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9F089C-A0F7-4DAD-A8C8-B9FD310B06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487bdf-1809-4dd1-aba0-ad1967c781a2"/>
    <ds:schemaRef ds:uri="2376775c-cd55-4200-92a0-92a7fee695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4364CE-F487-49DD-B2F1-BDEF3D92866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1784</Words>
  <Characters>9818</Characters>
  <Application>Microsoft Office Word</Application>
  <DocSecurity>0</DocSecurity>
  <Lines>81</Lines>
  <Paragraphs>23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Paulina</dc:creator>
  <cp:lastModifiedBy>Selina Villegas</cp:lastModifiedBy>
  <cp:revision>2</cp:revision>
  <cp:lastPrinted>2021-08-17T18:12:00Z</cp:lastPrinted>
  <dcterms:created xsi:type="dcterms:W3CDTF">2022-02-05T02:35:00Z</dcterms:created>
  <dcterms:modified xsi:type="dcterms:W3CDTF">2022-02-05T02:35:00Z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0x010100521B90FFFA978543953B3FC21A22E6C8</vt:lpwstr>
  </property>
</Properties>
</file>