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AA2C2" w14:textId="78E2837B" w:rsidR="008D4CE3" w:rsidRPr="001B53F5" w:rsidRDefault="00772D07" w:rsidP="00772D07">
      <w:pPr>
        <w:pStyle w:val="Ttulo1"/>
        <w:tabs>
          <w:tab w:val="left" w:pos="630"/>
          <w:tab w:val="center" w:pos="4419"/>
        </w:tabs>
        <w:rPr>
          <w:rFonts w:ascii="Lato" w:hAnsi="Lato"/>
          <w:b w:val="0"/>
          <w:color w:val="595959" w:themeColor="text1" w:themeTint="A6"/>
          <w:lang w:val="es-ES"/>
        </w:rPr>
      </w:pPr>
      <w:bookmarkStart w:id="0" w:name="_Toc25070690"/>
      <w:r>
        <w:rPr>
          <w:rFonts w:ascii="Lato" w:hAnsi="Lato"/>
          <w:b w:val="0"/>
          <w:color w:val="595959" w:themeColor="text1" w:themeTint="A6"/>
          <w:lang w:val="es-ES"/>
        </w:rPr>
        <w:tab/>
      </w:r>
      <w:r>
        <w:rPr>
          <w:rFonts w:ascii="Lato" w:hAnsi="Lato"/>
          <w:b w:val="0"/>
          <w:color w:val="595959" w:themeColor="text1" w:themeTint="A6"/>
          <w:lang w:val="es-ES"/>
        </w:rPr>
        <w:tab/>
      </w:r>
      <w:r w:rsidR="00106979" w:rsidRPr="001B53F5">
        <w:rPr>
          <w:rFonts w:ascii="Lato" w:hAnsi="Lato"/>
          <w:b w:val="0"/>
          <w:color w:val="595959" w:themeColor="text1" w:themeTint="A6"/>
          <w:lang w:val="es-ES"/>
        </w:rPr>
        <w:t>CLÁUSULAS CONTRA FRAUDE Y CORRUPCIÓN</w:t>
      </w:r>
      <w:bookmarkEnd w:id="0"/>
    </w:p>
    <w:p w14:paraId="77BA4081" w14:textId="190406CA" w:rsidR="005259E3" w:rsidRDefault="005259E3" w:rsidP="008D4CE3">
      <w:pPr>
        <w:pStyle w:val="Default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</w:p>
    <w:p w14:paraId="4F22C1E5" w14:textId="7DA66032" w:rsidR="008D4CE3" w:rsidRPr="008D4CE3" w:rsidRDefault="008D4CE3" w:rsidP="005434C7">
      <w:pPr>
        <w:pStyle w:val="Default"/>
        <w:spacing w:before="240" w:after="240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>Los recursos para financiar este contrato provienen de Fondo Mexicano para la Conservación de la Naturaleza A.C. en adelante FMCN, y la correcta aplicación del recurso de acuerdo a autorización está a cargo de (nombre del proveedor de servicios)</w:t>
      </w:r>
    </w:p>
    <w:p w14:paraId="03754ABB" w14:textId="5B1BC8B5" w:rsidR="008D4CE3" w:rsidRPr="008D4CE3" w:rsidRDefault="00132AD5" w:rsidP="005434C7">
      <w:pPr>
        <w:pStyle w:val="Default"/>
        <w:spacing w:before="240" w:after="240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1. </w:t>
      </w:r>
      <w:r w:rsidR="008D4CE3"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>FMCN exige a la contraparte, observe las más elevadas normas éticas durante el proceso de aplicación y ejecución de los recursos</w:t>
      </w:r>
      <w:r w:rsidR="008D4CE3"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footnoteReference w:id="1"/>
      </w:r>
      <w:r w:rsidR="008D4CE3"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. </w:t>
      </w:r>
    </w:p>
    <w:p w14:paraId="45C0A7EC" w14:textId="495B185F" w:rsidR="008D4CE3" w:rsidRPr="008D4CE3" w:rsidRDefault="00106979" w:rsidP="00106979">
      <w:pPr>
        <w:pStyle w:val="Default"/>
        <w:spacing w:before="240" w:after="240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a) </w:t>
      </w:r>
      <w:r w:rsidR="008D4CE3"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FMCN define de la siguiente manera, a los efectos de esta disposición, las expresiones que se indican a continuación: </w:t>
      </w:r>
    </w:p>
    <w:p w14:paraId="0AF6E739" w14:textId="77777777" w:rsidR="008D4CE3" w:rsidRPr="008D4CE3" w:rsidRDefault="008D4CE3" w:rsidP="00132AD5">
      <w:pPr>
        <w:pStyle w:val="Default"/>
        <w:spacing w:before="240" w:after="240"/>
        <w:ind w:left="708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(i) “práctica corrupta” significa el ofrecimiento, suministro, aceptación o solicitud, directa o indirectamente, de cualquier cosa de valor con el fin de influir impropiamente en la actuación de otra persona; </w:t>
      </w: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footnoteReference w:id="2"/>
      </w:r>
    </w:p>
    <w:p w14:paraId="3D112B0E" w14:textId="77777777" w:rsidR="008D4CE3" w:rsidRPr="008D4CE3" w:rsidRDefault="008D4CE3" w:rsidP="00132AD5">
      <w:pPr>
        <w:pStyle w:val="Default"/>
        <w:spacing w:before="240" w:after="240"/>
        <w:ind w:left="708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>(ii) “práctica fraudulenta” significa cualquier actuación u omisión, incluyendo una  tergiversación de los hechos que, astuta o descuidadamente, desorienta o intenta desorientar a otra persona con el fin de obtener un beneficio financiero o de otra índole, o para evitar una obligación</w:t>
      </w: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footnoteReference w:id="3"/>
      </w: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; </w:t>
      </w:r>
    </w:p>
    <w:p w14:paraId="56AD9E83" w14:textId="77777777" w:rsidR="008D4CE3" w:rsidRPr="008D4CE3" w:rsidRDefault="008D4CE3" w:rsidP="00132AD5">
      <w:pPr>
        <w:pStyle w:val="Default"/>
        <w:spacing w:before="240" w:after="240"/>
        <w:ind w:left="708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(iii) “práctica de colusión” significa un arreglo de dos o más personas diseñado para lograr un propósito impropio, incluyendo influenciar impropiamente las acciones de otra persona; </w:t>
      </w:r>
    </w:p>
    <w:p w14:paraId="5DA6ED0B" w14:textId="77777777" w:rsidR="008D4CE3" w:rsidRPr="008D4CE3" w:rsidRDefault="008D4CE3" w:rsidP="00132AD5">
      <w:pPr>
        <w:pStyle w:val="Default"/>
        <w:spacing w:before="240" w:after="240"/>
        <w:ind w:left="708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(iv) “práctica coercitiva” significa el daño o amenazas para dañar, directa o indirectamente, a cualquier persona, o las propiedades de una persona, para influenciar impropiamente sus actuaciones; </w:t>
      </w:r>
    </w:p>
    <w:p w14:paraId="67E09696" w14:textId="77777777" w:rsidR="008D4CE3" w:rsidRPr="008D4CE3" w:rsidRDefault="008D4CE3" w:rsidP="00132AD5">
      <w:pPr>
        <w:pStyle w:val="Default"/>
        <w:spacing w:before="240" w:after="240"/>
        <w:ind w:left="708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(v) “práctica de obstrucción” significa la destrucción, falsificación, alteración u ocultamiento deliberado de evidencia material relativa a una investigación o hacer </w:t>
      </w: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lastRenderedPageBreak/>
        <w:t xml:space="preserve">declaraciones falsas a los investigadores para impedir físicamente el ejercicio de las facultades de investigación sobre denuncias de prácticas corruptas, fraudulentas, coercitivas o colusorias; amenazar, acosar o intimidar a cualquiera de las partes para evitar que ellas revelen el conocimiento que tienen sobre temas relevantes para la investigación; impedir materialmente el ejercicio de los derechos de la institución a inspeccionar y auditar. </w:t>
      </w:r>
    </w:p>
    <w:p w14:paraId="2DFDDF4C" w14:textId="77777777" w:rsidR="008D4CE3" w:rsidRPr="008D4CE3" w:rsidRDefault="008D4CE3" w:rsidP="00106979">
      <w:pPr>
        <w:pStyle w:val="Default"/>
        <w:spacing w:before="240" w:after="240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b) rechazará toda propuesta de adjudicación si determina que el licitante seleccionado para dicha adjudicación o su personal, sus agentes y sub consultores, subcontratistas, proveedores o sus empleados hayan participado, directa o indirectamente, en prácticas corruptas, fraudulentas, de colusión, coercitivas o de obstrucción para competir por el contrato de que se trate; </w:t>
      </w:r>
    </w:p>
    <w:p w14:paraId="7F6C222C" w14:textId="77777777" w:rsidR="008D4CE3" w:rsidRPr="008D4CE3" w:rsidRDefault="008D4CE3" w:rsidP="00106979">
      <w:pPr>
        <w:pStyle w:val="Default"/>
        <w:spacing w:before="240" w:after="240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c) declarará la adquisición viciada y anulará la porción del recurso asignado a un contrato si en cualquier momento determina que los representantes de la contraparte o de un beneficiario de alguna parte de los recursos asignados han participado en prácticas corruptas, fraudulentas, de colusión, coercitivas o de obstrucción durante el proceso de adquisición o la implementación de dicho contrato, sin que la contraparte haya adoptado medidas oportunas y apropiadas que FMCN considere satisfactorias para corregir la situación, dirigidas a dichas prácticas cuando éstas ocurran, incluyendo no haber informado al FMCN oportunamente al haberse conocido dichas prácticas; </w:t>
      </w:r>
    </w:p>
    <w:p w14:paraId="726801B2" w14:textId="77777777" w:rsidR="008D4CE3" w:rsidRPr="008D4CE3" w:rsidRDefault="008D4CE3" w:rsidP="00106979">
      <w:pPr>
        <w:pStyle w:val="Default"/>
        <w:spacing w:before="240" w:after="240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>d) sancionará a la contraparte, en función de la gravedad de la falta cometida así como de su origen (acciones derivadas de negligencia o dolo), incluyendo declarar a la persona inelegible públicamente, en forma indefinida o durante un período determinado para: (i) que se le adjudique un contrato financiado por  FMCN y (ii) que se le nomine subcontratista</w:t>
      </w: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footnoteReference w:id="4"/>
      </w: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, consultor, proveedor o proveedor de servicios de una entidad que de lo contrario sería elegible para que se le adjudicara un contrato financiado por FMCN. </w:t>
      </w:r>
    </w:p>
    <w:p w14:paraId="1B15F27E" w14:textId="77777777" w:rsidR="008D4CE3" w:rsidRPr="008D4CE3" w:rsidRDefault="008D4CE3" w:rsidP="00106979">
      <w:pPr>
        <w:pStyle w:val="Default"/>
        <w:spacing w:before="240" w:after="240"/>
        <w:jc w:val="both"/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</w:pP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t xml:space="preserve">e) requerirá que, en los contratos financiados con recursos de FMCN, se incluya una cláusula que exija que los licitantes, proveedores y contratistas y subcontratistas, agentes, personal, consultores, proveedores de bienes o servicios deben permitir a FMCN revisar todas las cuentas, archivos y otros documentos relacionados con la presentación de las ofertas y el </w:t>
      </w:r>
      <w:r w:rsidRPr="008D4CE3">
        <w:rPr>
          <w:rFonts w:ascii="Lato" w:eastAsiaTheme="minorEastAsia" w:hAnsi="Lato" w:cs="FuturaBT-Book"/>
          <w:color w:val="595959" w:themeColor="text1" w:themeTint="A6"/>
          <w:sz w:val="22"/>
          <w:szCs w:val="22"/>
        </w:rPr>
        <w:lastRenderedPageBreak/>
        <w:t>cumplimiento del contrato y someterlos a una verificación por auditores designados por FMCN; y</w:t>
      </w:r>
    </w:p>
    <w:p w14:paraId="5D633B9D" w14:textId="43E91C72" w:rsidR="005434C7" w:rsidRPr="008D4CE3" w:rsidRDefault="008D4CE3" w:rsidP="00106979">
      <w:pPr>
        <w:spacing w:before="240" w:after="240" w:line="288" w:lineRule="auto"/>
        <w:jc w:val="both"/>
        <w:rPr>
          <w:rFonts w:ascii="Lato" w:hAnsi="Lato" w:cs="FuturaBT-Book"/>
          <w:color w:val="595959" w:themeColor="text1" w:themeTint="A6"/>
          <w:sz w:val="22"/>
          <w:szCs w:val="22"/>
          <w:lang w:val="es-ES"/>
        </w:rPr>
      </w:pPr>
      <w:r w:rsidRPr="008D4CE3">
        <w:rPr>
          <w:rFonts w:ascii="Lato" w:hAnsi="Lato" w:cs="FuturaBT-Book"/>
          <w:color w:val="595959" w:themeColor="text1" w:themeTint="A6"/>
          <w:sz w:val="22"/>
          <w:szCs w:val="22"/>
          <w:lang w:val="es-ES"/>
        </w:rPr>
        <w:t>f) requerirá que, cuando la contraparte adquiera bienes, obras o servicios distintos a los de consultoría cumpla con los lineamientos establecidos en el Manual de Oper</w:t>
      </w:r>
      <w:r w:rsidR="005434C7">
        <w:rPr>
          <w:rFonts w:ascii="Lato" w:hAnsi="Lato" w:cs="FuturaBT-Book"/>
          <w:color w:val="595959" w:themeColor="text1" w:themeTint="A6"/>
          <w:sz w:val="22"/>
          <w:szCs w:val="22"/>
          <w:lang w:val="es-ES"/>
        </w:rPr>
        <w:t>aciones de FMCN</w:t>
      </w:r>
      <w:r w:rsidRPr="008D4CE3">
        <w:rPr>
          <w:rFonts w:ascii="Lato" w:hAnsi="Lato" w:cs="FuturaBT-Book"/>
          <w:color w:val="595959" w:themeColor="text1" w:themeTint="A6"/>
          <w:sz w:val="22"/>
          <w:szCs w:val="22"/>
          <w:lang w:val="es-ES"/>
        </w:rPr>
        <w:t>.</w:t>
      </w:r>
    </w:p>
    <w:p w14:paraId="2C3F042A" w14:textId="77777777" w:rsidR="008D4CE3" w:rsidRPr="008D4CE3" w:rsidRDefault="008D4CE3" w:rsidP="005434C7">
      <w:pPr>
        <w:spacing w:before="240" w:after="240" w:line="288" w:lineRule="auto"/>
        <w:jc w:val="both"/>
        <w:rPr>
          <w:rFonts w:ascii="Lato" w:hAnsi="Lato" w:cs="FuturaBT-Book"/>
          <w:color w:val="595959" w:themeColor="text1" w:themeTint="A6"/>
          <w:sz w:val="22"/>
          <w:szCs w:val="22"/>
          <w:lang w:val="es-ES"/>
        </w:rPr>
      </w:pPr>
      <w:r w:rsidRPr="008D4CE3">
        <w:rPr>
          <w:rFonts w:ascii="Lato" w:hAnsi="Lato" w:cs="FuturaBT-Book"/>
          <w:color w:val="595959" w:themeColor="text1" w:themeTint="A6"/>
          <w:sz w:val="22"/>
          <w:szCs w:val="22"/>
          <w:lang w:val="es-ES"/>
        </w:rPr>
        <w:t xml:space="preserve">2. La contraparte podrá incluir en los formularios de licitación para contratos financiados por FMCN, la declaratoria jurada del licitante de observar las leyes del país contra fraude y corrupción (incluyendo sobornos), cuando compita o ejecute un contrato, conforme éstas hayan sido incluidas en los documentos de licitación. FMCN aceptará la introducción de tal declaratoria a petición del país de la contraparte, siempre que los acuerdos que rijan esa </w:t>
      </w:r>
      <w:bookmarkStart w:id="1" w:name="_GoBack"/>
      <w:bookmarkEnd w:id="1"/>
      <w:r w:rsidRPr="008D4CE3">
        <w:rPr>
          <w:rFonts w:ascii="Lato" w:hAnsi="Lato" w:cs="FuturaBT-Book"/>
          <w:color w:val="595959" w:themeColor="text1" w:themeTint="A6"/>
          <w:sz w:val="22"/>
          <w:szCs w:val="22"/>
          <w:lang w:val="es-ES"/>
        </w:rPr>
        <w:t>declaratoria sean satisfactorios a FMCN.</w:t>
      </w:r>
    </w:p>
    <w:sectPr w:rsidR="008D4CE3" w:rsidRPr="008D4CE3" w:rsidSect="00F70CA0">
      <w:headerReference w:type="default" r:id="rId7"/>
      <w:footerReference w:type="even" r:id="rId8"/>
      <w:footerReference w:type="default" r:id="rId9"/>
      <w:pgSz w:w="12240" w:h="15840"/>
      <w:pgMar w:top="2268" w:right="170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5207A5" w14:textId="77777777" w:rsidR="00680808" w:rsidRDefault="00680808" w:rsidP="00E61C65">
      <w:r>
        <w:separator/>
      </w:r>
    </w:p>
  </w:endnote>
  <w:endnote w:type="continuationSeparator" w:id="0">
    <w:p w14:paraId="7741044C" w14:textId="77777777" w:rsidR="00680808" w:rsidRDefault="00680808" w:rsidP="00E61C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Lato">
    <w:panose1 w:val="020F0502020204030203"/>
    <w:charset w:val="00"/>
    <w:family w:val="swiss"/>
    <w:pitch w:val="variable"/>
    <w:sig w:usb0="800000AF" w:usb1="4000604A" w:usb2="00000000" w:usb3="00000000" w:csb0="00000093" w:csb1="00000000"/>
  </w:font>
  <w:font w:name="FuturaBT-Book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merodepgina"/>
      </w:rPr>
      <w:id w:val="526836563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4166B673" w14:textId="77777777" w:rsidR="000E4E48" w:rsidRDefault="000E4E48" w:rsidP="000E4E48">
        <w:pPr>
          <w:pStyle w:val="Piedepgina"/>
          <w:framePr w:wrap="none" w:vAnchor="text" w:hAnchor="margin" w:xAlign="center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494692387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1C72283B" w14:textId="77777777" w:rsidR="000E4E48" w:rsidRDefault="000E4E48" w:rsidP="000E4E48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627E19BA" w14:textId="77777777" w:rsidR="000E4E48" w:rsidRDefault="000E4E48" w:rsidP="00A07691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merodepgina"/>
        <w:rFonts w:ascii="Lato" w:hAnsi="Lato"/>
        <w:color w:val="595959" w:themeColor="text1" w:themeTint="A6"/>
        <w:sz w:val="22"/>
        <w:szCs w:val="22"/>
      </w:rPr>
      <w:id w:val="1556971173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1AA60EDE" w14:textId="5CF79525" w:rsidR="000E4E48" w:rsidRPr="00F70CA0" w:rsidRDefault="000E4E48" w:rsidP="000E4E48">
        <w:pPr>
          <w:pStyle w:val="Piedepgina"/>
          <w:framePr w:wrap="none" w:vAnchor="text" w:hAnchor="margin" w:xAlign="center" w:y="1"/>
          <w:rPr>
            <w:rStyle w:val="Nmerodepgina"/>
            <w:rFonts w:ascii="Lato" w:hAnsi="Lato"/>
            <w:color w:val="595959" w:themeColor="text1" w:themeTint="A6"/>
            <w:sz w:val="22"/>
            <w:szCs w:val="22"/>
          </w:rPr>
        </w:pPr>
        <w:r w:rsidRPr="00F70CA0">
          <w:rPr>
            <w:rStyle w:val="Nmerodepgina"/>
            <w:rFonts w:ascii="Lato" w:hAnsi="Lato"/>
            <w:color w:val="595959" w:themeColor="text1" w:themeTint="A6"/>
            <w:sz w:val="22"/>
            <w:szCs w:val="22"/>
          </w:rPr>
          <w:fldChar w:fldCharType="begin"/>
        </w:r>
        <w:r w:rsidRPr="00F70CA0">
          <w:rPr>
            <w:rStyle w:val="Nmerodepgina"/>
            <w:rFonts w:ascii="Lato" w:hAnsi="Lato"/>
            <w:color w:val="595959" w:themeColor="text1" w:themeTint="A6"/>
            <w:sz w:val="22"/>
            <w:szCs w:val="22"/>
          </w:rPr>
          <w:instrText xml:space="preserve"> PAGE </w:instrText>
        </w:r>
        <w:r w:rsidRPr="00F70CA0">
          <w:rPr>
            <w:rStyle w:val="Nmerodepgina"/>
            <w:rFonts w:ascii="Lato" w:hAnsi="Lato"/>
            <w:color w:val="595959" w:themeColor="text1" w:themeTint="A6"/>
            <w:sz w:val="22"/>
            <w:szCs w:val="22"/>
          </w:rPr>
          <w:fldChar w:fldCharType="separate"/>
        </w:r>
        <w:r w:rsidR="003F0CA0">
          <w:rPr>
            <w:rStyle w:val="Nmerodepgina"/>
            <w:rFonts w:ascii="Lato" w:hAnsi="Lato"/>
            <w:noProof/>
            <w:color w:val="595959" w:themeColor="text1" w:themeTint="A6"/>
            <w:sz w:val="22"/>
            <w:szCs w:val="22"/>
          </w:rPr>
          <w:t>1</w:t>
        </w:r>
        <w:r w:rsidRPr="00F70CA0">
          <w:rPr>
            <w:rStyle w:val="Nmerodepgina"/>
            <w:rFonts w:ascii="Lato" w:hAnsi="Lato"/>
            <w:color w:val="595959" w:themeColor="text1" w:themeTint="A6"/>
            <w:sz w:val="22"/>
            <w:szCs w:val="22"/>
          </w:rPr>
          <w:fldChar w:fldCharType="end"/>
        </w:r>
      </w:p>
    </w:sdtContent>
  </w:sdt>
  <w:p w14:paraId="6F95249A" w14:textId="77777777" w:rsidR="000E4E48" w:rsidRDefault="000E4E48" w:rsidP="00A07691">
    <w:pPr>
      <w:pStyle w:val="Piedepgin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77C567" w14:textId="77777777" w:rsidR="00680808" w:rsidRDefault="00680808" w:rsidP="00E61C65">
      <w:r>
        <w:separator/>
      </w:r>
    </w:p>
  </w:footnote>
  <w:footnote w:type="continuationSeparator" w:id="0">
    <w:p w14:paraId="3FEFADA7" w14:textId="77777777" w:rsidR="00680808" w:rsidRDefault="00680808" w:rsidP="00E61C65">
      <w:r>
        <w:continuationSeparator/>
      </w:r>
    </w:p>
  </w:footnote>
  <w:footnote w:id="1">
    <w:p w14:paraId="05508405" w14:textId="77777777" w:rsidR="008D4CE3" w:rsidRPr="00676A56" w:rsidRDefault="008D4CE3" w:rsidP="00EF4793">
      <w:pPr>
        <w:pStyle w:val="Default"/>
        <w:spacing w:after="0" w:line="259" w:lineRule="auto"/>
        <w:ind w:left="346"/>
        <w:rPr>
          <w:rFonts w:ascii="Century Gothic" w:hAnsi="Century Gothic"/>
          <w:sz w:val="16"/>
          <w:szCs w:val="16"/>
        </w:rPr>
      </w:pPr>
      <w:r w:rsidRPr="00EF4793">
        <w:rPr>
          <w:rStyle w:val="footnotemark"/>
          <w:rFonts w:ascii="Lato" w:hAnsi="Lato"/>
          <w:color w:val="595959" w:themeColor="text1" w:themeTint="A6"/>
          <w:lang w:val="es-MX" w:eastAsia="es-MX"/>
        </w:rPr>
        <w:footnoteRef/>
      </w:r>
      <w:r w:rsidRPr="00EF4793">
        <w:rPr>
          <w:rStyle w:val="footnotemark"/>
          <w:rFonts w:ascii="Lato" w:hAnsi="Lato"/>
          <w:color w:val="595959" w:themeColor="text1" w:themeTint="A6"/>
          <w:lang w:val="es-MX" w:eastAsia="es-MX"/>
        </w:rPr>
        <w:t xml:space="preserve"> </w:t>
      </w:r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En este contexto, cualquier acción para influenciar el proceso de contratación o de ejecución de un contrato para adquirir una ventaja ilegítima, es impropia.</w:t>
      </w:r>
      <w:r w:rsidRPr="008E462A">
        <w:rPr>
          <w:rFonts w:ascii="Century Gothic" w:hAnsi="Century Gothic"/>
          <w:sz w:val="16"/>
          <w:szCs w:val="16"/>
        </w:rPr>
        <w:t xml:space="preserve"> </w:t>
      </w:r>
    </w:p>
  </w:footnote>
  <w:footnote w:id="2">
    <w:p w14:paraId="7CE56C16" w14:textId="77777777" w:rsidR="008D4CE3" w:rsidRPr="00676A56" w:rsidRDefault="008D4CE3" w:rsidP="00EF4793">
      <w:pPr>
        <w:pStyle w:val="Default"/>
        <w:spacing w:after="0" w:line="259" w:lineRule="auto"/>
        <w:ind w:left="346"/>
        <w:rPr>
          <w:lang w:val="es-ES_tradnl"/>
        </w:rPr>
      </w:pPr>
      <w:r w:rsidRPr="00EF4793">
        <w:rPr>
          <w:rStyle w:val="footnotemark"/>
          <w:rFonts w:ascii="Lato" w:hAnsi="Lato"/>
          <w:color w:val="595959" w:themeColor="text1" w:themeTint="A6"/>
          <w:lang w:val="es-MX" w:eastAsia="es-MX"/>
        </w:rPr>
        <w:footnoteRef/>
      </w:r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“Persona” se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refiere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cualquier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persona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vinculada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con FMCN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cuando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,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por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la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naturaleza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dicha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vinculación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,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su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actuación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pueda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afectar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alguna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medida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la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integridad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financiera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 la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institución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.</w:t>
      </w:r>
    </w:p>
  </w:footnote>
  <w:footnote w:id="3">
    <w:p w14:paraId="087071A5" w14:textId="77777777" w:rsidR="008D4CE3" w:rsidRPr="00676A56" w:rsidRDefault="008D4CE3" w:rsidP="00EF4793">
      <w:pPr>
        <w:pStyle w:val="Default"/>
        <w:spacing w:after="0" w:line="259" w:lineRule="auto"/>
        <w:ind w:left="346"/>
        <w:rPr>
          <w:lang w:val="es-ES_tradnl"/>
        </w:rPr>
      </w:pPr>
      <w:r w:rsidRPr="00EF4793">
        <w:rPr>
          <w:rStyle w:val="footnotemark"/>
          <w:rFonts w:ascii="Lato" w:hAnsi="Lato"/>
          <w:color w:val="595959" w:themeColor="text1" w:themeTint="A6"/>
          <w:lang w:val="es-MX" w:eastAsia="es-MX"/>
        </w:rPr>
        <w:footnoteRef/>
      </w:r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“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Obligación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” se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refieren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al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proceso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contratación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o a la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ejecución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del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contrato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; y el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término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“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actuación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u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omisión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”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debe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estar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dirigido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influenciar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el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proceso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contratación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o la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ejecución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 un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contrato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.</w:t>
      </w:r>
    </w:p>
  </w:footnote>
  <w:footnote w:id="4">
    <w:p w14:paraId="5CC47EE9" w14:textId="77777777" w:rsidR="008D4CE3" w:rsidRPr="00D430C4" w:rsidRDefault="008D4CE3" w:rsidP="00EF4793">
      <w:pPr>
        <w:pStyle w:val="Textonotapie"/>
        <w:spacing w:before="0" w:after="0" w:line="259" w:lineRule="auto"/>
        <w:ind w:left="346"/>
        <w:jc w:val="left"/>
        <w:rPr>
          <w:lang w:val="es-ES_tradnl"/>
        </w:rPr>
      </w:pPr>
      <w:r w:rsidRPr="00EF4793">
        <w:rPr>
          <w:rStyle w:val="footnotemark"/>
          <w:rFonts w:ascii="Lato" w:hAnsi="Lato"/>
          <w:color w:val="595959" w:themeColor="text1" w:themeTint="A6"/>
          <w:lang w:val="es-MX" w:eastAsia="es-MX"/>
        </w:rPr>
        <w:footnoteRef/>
      </w:r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Un subcontratista, consultor, fabricante y/o un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proveedor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productos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o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servicios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(se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usan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diferentes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nombres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según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el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documento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licitación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utilizado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)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nominado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es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aquel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que ha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sido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: (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i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)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incluido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por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el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licitante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su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solicitud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precalificación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u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oferta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por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cuanto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aporta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la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experiencia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clave y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específica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y el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conocimiento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que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permite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al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licitante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cumplir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con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los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criterios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de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calificación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para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una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licitación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en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particular; o (ii)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nominado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por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 xml:space="preserve"> el </w:t>
      </w:r>
      <w:proofErr w:type="spellStart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prestatario</w:t>
      </w:r>
      <w:proofErr w:type="spellEnd"/>
      <w:r w:rsidRPr="00EF4793">
        <w:rPr>
          <w:rFonts w:ascii="Lato" w:eastAsia="Gill Sans MT" w:hAnsi="Lato" w:cs="Gill Sans MT"/>
          <w:color w:val="595959" w:themeColor="text1" w:themeTint="A6"/>
          <w:sz w:val="16"/>
          <w:szCs w:val="22"/>
          <w:lang w:val="es-MX" w:eastAsia="es-MX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63EE27" w14:textId="3FAF3EEB" w:rsidR="000E4E48" w:rsidRDefault="000E4E48">
    <w:pPr>
      <w:pStyle w:val="Encabezado"/>
    </w:pPr>
    <w:r w:rsidRPr="00E61C65">
      <w:rPr>
        <w:noProof/>
        <w:lang w:eastAsia="es-MX"/>
      </w:rPr>
      <w:drawing>
        <wp:anchor distT="0" distB="0" distL="114300" distR="114300" simplePos="0" relativeHeight="251657216" behindDoc="0" locked="1" layoutInCell="1" allowOverlap="1" wp14:anchorId="38E8910B" wp14:editId="410D9650">
          <wp:simplePos x="0" y="0"/>
          <wp:positionH relativeFrom="page">
            <wp:posOffset>405765</wp:posOffset>
          </wp:positionH>
          <wp:positionV relativeFrom="page">
            <wp:posOffset>383540</wp:posOffset>
          </wp:positionV>
          <wp:extent cx="1717040" cy="640715"/>
          <wp:effectExtent l="0" t="0" r="0" b="0"/>
          <wp:wrapSquare wrapText="bothSides"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7040" cy="640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D81D2DD" w14:textId="378BB4DA" w:rsidR="000E4E48" w:rsidRDefault="000E4E4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FD3317"/>
    <w:multiLevelType w:val="hybridMultilevel"/>
    <w:tmpl w:val="58D4289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FF07D3"/>
    <w:multiLevelType w:val="hybridMultilevel"/>
    <w:tmpl w:val="9514C002"/>
    <w:lvl w:ilvl="0" w:tplc="040A0001">
      <w:start w:val="1"/>
      <w:numFmt w:val="bullet"/>
      <w:lvlText w:val=""/>
      <w:lvlJc w:val="left"/>
      <w:pPr>
        <w:ind w:left="1039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759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479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199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19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39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359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079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799" w:hanging="360"/>
      </w:pPr>
      <w:rPr>
        <w:rFonts w:ascii="Wingdings" w:hAnsi="Wingdings" w:hint="default"/>
      </w:rPr>
    </w:lvl>
  </w:abstractNum>
  <w:abstractNum w:abstractNumId="2" w15:restartNumberingAfterBreak="0">
    <w:nsid w:val="2E22073D"/>
    <w:multiLevelType w:val="hybridMultilevel"/>
    <w:tmpl w:val="CFAA47A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156C05"/>
    <w:multiLevelType w:val="hybridMultilevel"/>
    <w:tmpl w:val="A61C0A50"/>
    <w:lvl w:ilvl="0" w:tplc="040A0001">
      <w:start w:val="1"/>
      <w:numFmt w:val="bullet"/>
      <w:lvlText w:val=""/>
      <w:lvlJc w:val="left"/>
      <w:pPr>
        <w:ind w:left="975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695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415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135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55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75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95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015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735" w:hanging="360"/>
      </w:pPr>
      <w:rPr>
        <w:rFonts w:ascii="Wingdings" w:hAnsi="Wingdings" w:hint="default"/>
      </w:rPr>
    </w:lvl>
  </w:abstractNum>
  <w:abstractNum w:abstractNumId="4" w15:restartNumberingAfterBreak="0">
    <w:nsid w:val="335D3ED6"/>
    <w:multiLevelType w:val="hybridMultilevel"/>
    <w:tmpl w:val="E852422A"/>
    <w:lvl w:ilvl="0" w:tplc="040A0001">
      <w:start w:val="1"/>
      <w:numFmt w:val="bullet"/>
      <w:lvlText w:val=""/>
      <w:lvlJc w:val="left"/>
      <w:pPr>
        <w:ind w:left="975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695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415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135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55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75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95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015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735" w:hanging="360"/>
      </w:pPr>
      <w:rPr>
        <w:rFonts w:ascii="Wingdings" w:hAnsi="Wingdings" w:hint="default"/>
      </w:rPr>
    </w:lvl>
  </w:abstractNum>
  <w:abstractNum w:abstractNumId="5" w15:restartNumberingAfterBreak="0">
    <w:nsid w:val="3D603BC2"/>
    <w:multiLevelType w:val="hybridMultilevel"/>
    <w:tmpl w:val="A3941644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2D2C37"/>
    <w:multiLevelType w:val="hybridMultilevel"/>
    <w:tmpl w:val="02887E6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AB5461"/>
    <w:multiLevelType w:val="hybridMultilevel"/>
    <w:tmpl w:val="1B9A5F5E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F4462B"/>
    <w:multiLevelType w:val="hybridMultilevel"/>
    <w:tmpl w:val="24C6426C"/>
    <w:lvl w:ilvl="0" w:tplc="040A0001">
      <w:start w:val="1"/>
      <w:numFmt w:val="bullet"/>
      <w:lvlText w:val=""/>
      <w:lvlJc w:val="left"/>
      <w:pPr>
        <w:ind w:left="975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695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415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135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55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75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95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015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735" w:hanging="360"/>
      </w:pPr>
      <w:rPr>
        <w:rFonts w:ascii="Wingdings" w:hAnsi="Wingdings" w:hint="default"/>
      </w:rPr>
    </w:lvl>
  </w:abstractNum>
  <w:abstractNum w:abstractNumId="9" w15:restartNumberingAfterBreak="0">
    <w:nsid w:val="43F1351F"/>
    <w:multiLevelType w:val="hybridMultilevel"/>
    <w:tmpl w:val="DA6A9234"/>
    <w:lvl w:ilvl="0" w:tplc="7E248918">
      <w:start w:val="1"/>
      <w:numFmt w:val="bullet"/>
      <w:lvlText w:val="−"/>
      <w:lvlJc w:val="left"/>
      <w:pPr>
        <w:tabs>
          <w:tab w:val="num" w:pos="2520"/>
        </w:tabs>
        <w:ind w:left="2520" w:hanging="360"/>
      </w:pPr>
      <w:rPr>
        <w:rFonts w:ascii="Arial Narrow" w:hAnsi="Arial Narrow" w:hint="default"/>
      </w:rPr>
    </w:lvl>
    <w:lvl w:ilvl="1" w:tplc="8488FA42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Arial Narrow" w:hAnsi="Arial Narrow" w:hint="default"/>
      </w:rPr>
    </w:lvl>
    <w:lvl w:ilvl="2" w:tplc="154ED49C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44DB53CD"/>
    <w:multiLevelType w:val="hybridMultilevel"/>
    <w:tmpl w:val="384882F6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CA25C3"/>
    <w:multiLevelType w:val="hybridMultilevel"/>
    <w:tmpl w:val="DBC25CEE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8A5E1F"/>
    <w:multiLevelType w:val="hybridMultilevel"/>
    <w:tmpl w:val="EDC06B0E"/>
    <w:lvl w:ilvl="0" w:tplc="5A60A26E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52B83373"/>
    <w:multiLevelType w:val="hybridMultilevel"/>
    <w:tmpl w:val="E6108A84"/>
    <w:lvl w:ilvl="0" w:tplc="8488FA42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 Narrow" w:hAnsi="Arial Narro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31569D"/>
    <w:multiLevelType w:val="hybridMultilevel"/>
    <w:tmpl w:val="1E5AA572"/>
    <w:lvl w:ilvl="0" w:tplc="8488FA42">
      <w:start w:val="1"/>
      <w:numFmt w:val="bullet"/>
      <w:lvlText w:val="-"/>
      <w:lvlJc w:val="left"/>
      <w:pPr>
        <w:tabs>
          <w:tab w:val="num" w:pos="2237"/>
        </w:tabs>
        <w:ind w:left="2237" w:hanging="360"/>
      </w:pPr>
      <w:rPr>
        <w:rFonts w:ascii="Arial Narrow" w:hAnsi="Arial Narrow" w:hint="default"/>
      </w:rPr>
    </w:lvl>
    <w:lvl w:ilvl="1" w:tplc="8488FA42">
      <w:start w:val="1"/>
      <w:numFmt w:val="bullet"/>
      <w:lvlText w:val="-"/>
      <w:lvlJc w:val="left"/>
      <w:pPr>
        <w:tabs>
          <w:tab w:val="num" w:pos="2237"/>
        </w:tabs>
        <w:ind w:left="2237" w:hanging="360"/>
      </w:pPr>
      <w:rPr>
        <w:rFonts w:ascii="Arial Narrow" w:hAnsi="Arial Narro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57"/>
        </w:tabs>
        <w:ind w:left="29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77"/>
        </w:tabs>
        <w:ind w:left="36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97"/>
        </w:tabs>
        <w:ind w:left="439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17"/>
        </w:tabs>
        <w:ind w:left="51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37"/>
        </w:tabs>
        <w:ind w:left="58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57"/>
        </w:tabs>
        <w:ind w:left="655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77"/>
        </w:tabs>
        <w:ind w:left="7277" w:hanging="360"/>
      </w:pPr>
      <w:rPr>
        <w:rFonts w:ascii="Wingdings" w:hAnsi="Wingdings" w:hint="default"/>
      </w:rPr>
    </w:lvl>
  </w:abstractNum>
  <w:abstractNum w:abstractNumId="15" w15:restartNumberingAfterBreak="0">
    <w:nsid w:val="5AC9193C"/>
    <w:multiLevelType w:val="hybridMultilevel"/>
    <w:tmpl w:val="B6F68F96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DE30F20"/>
    <w:multiLevelType w:val="hybridMultilevel"/>
    <w:tmpl w:val="E9029E34"/>
    <w:lvl w:ilvl="0" w:tplc="8488FA42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 Narrow" w:hAnsi="Arial Narro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8E7F2A"/>
    <w:multiLevelType w:val="hybridMultilevel"/>
    <w:tmpl w:val="70EA4298"/>
    <w:lvl w:ilvl="0" w:tplc="040A0001">
      <w:start w:val="1"/>
      <w:numFmt w:val="bullet"/>
      <w:lvlText w:val=""/>
      <w:lvlJc w:val="left"/>
      <w:pPr>
        <w:ind w:left="1039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759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479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199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19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39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359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079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799" w:hanging="360"/>
      </w:pPr>
      <w:rPr>
        <w:rFonts w:ascii="Wingdings" w:hAnsi="Wingdings" w:hint="default"/>
      </w:rPr>
    </w:lvl>
  </w:abstractNum>
  <w:abstractNum w:abstractNumId="18" w15:restartNumberingAfterBreak="0">
    <w:nsid w:val="63A21662"/>
    <w:multiLevelType w:val="hybridMultilevel"/>
    <w:tmpl w:val="FC68D68A"/>
    <w:lvl w:ilvl="0" w:tplc="040A0001">
      <w:start w:val="1"/>
      <w:numFmt w:val="bullet"/>
      <w:lvlText w:val=""/>
      <w:lvlJc w:val="left"/>
      <w:pPr>
        <w:ind w:left="973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69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41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13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5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7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9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01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733" w:hanging="360"/>
      </w:pPr>
      <w:rPr>
        <w:rFonts w:ascii="Wingdings" w:hAnsi="Wingdings" w:hint="default"/>
      </w:rPr>
    </w:lvl>
  </w:abstractNum>
  <w:abstractNum w:abstractNumId="19" w15:restartNumberingAfterBreak="0">
    <w:nsid w:val="6B4E53CC"/>
    <w:multiLevelType w:val="hybridMultilevel"/>
    <w:tmpl w:val="384882F6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6D2411"/>
    <w:multiLevelType w:val="hybridMultilevel"/>
    <w:tmpl w:val="F3A0F338"/>
    <w:lvl w:ilvl="0" w:tplc="5A60A26E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763774C8"/>
    <w:multiLevelType w:val="hybridMultilevel"/>
    <w:tmpl w:val="D4B2376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67E18BC"/>
    <w:multiLevelType w:val="hybridMultilevel"/>
    <w:tmpl w:val="42869DF0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78C78F1"/>
    <w:multiLevelType w:val="multilevel"/>
    <w:tmpl w:val="123013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EF26EF2"/>
    <w:multiLevelType w:val="hybridMultilevel"/>
    <w:tmpl w:val="E5DA628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F71C94"/>
    <w:multiLevelType w:val="hybridMultilevel"/>
    <w:tmpl w:val="058C448E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8A2DEA"/>
    <w:multiLevelType w:val="hybridMultilevel"/>
    <w:tmpl w:val="26607678"/>
    <w:lvl w:ilvl="0" w:tplc="040A0013">
      <w:start w:val="1"/>
      <w:numFmt w:val="upperRoman"/>
      <w:lvlText w:val="%1."/>
      <w:lvlJc w:val="righ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5"/>
  </w:num>
  <w:num w:numId="3">
    <w:abstractNumId w:val="22"/>
  </w:num>
  <w:num w:numId="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3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3"/>
    <w:lvlOverride w:ilvl="0">
      <w:startOverride w:val="1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3"/>
    <w:lvlOverride w:ilvl="0">
      <w:startOverride w:val="1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</w:num>
  <w:num w:numId="9">
    <w:abstractNumId w:val="7"/>
  </w:num>
  <w:num w:numId="10">
    <w:abstractNumId w:val="12"/>
  </w:num>
  <w:num w:numId="11">
    <w:abstractNumId w:val="10"/>
  </w:num>
  <w:num w:numId="12">
    <w:abstractNumId w:val="26"/>
  </w:num>
  <w:num w:numId="13">
    <w:abstractNumId w:val="20"/>
  </w:num>
  <w:num w:numId="14">
    <w:abstractNumId w:val="19"/>
  </w:num>
  <w:num w:numId="15">
    <w:abstractNumId w:val="14"/>
  </w:num>
  <w:num w:numId="16">
    <w:abstractNumId w:val="16"/>
  </w:num>
  <w:num w:numId="17">
    <w:abstractNumId w:val="13"/>
  </w:num>
  <w:num w:numId="18">
    <w:abstractNumId w:val="9"/>
  </w:num>
  <w:num w:numId="19">
    <w:abstractNumId w:val="1"/>
  </w:num>
  <w:num w:numId="20">
    <w:abstractNumId w:val="17"/>
  </w:num>
  <w:num w:numId="21">
    <w:abstractNumId w:val="4"/>
  </w:num>
  <w:num w:numId="22">
    <w:abstractNumId w:val="0"/>
  </w:num>
  <w:num w:numId="23">
    <w:abstractNumId w:val="8"/>
  </w:num>
  <w:num w:numId="24">
    <w:abstractNumId w:val="3"/>
  </w:num>
  <w:num w:numId="25">
    <w:abstractNumId w:val="18"/>
  </w:num>
  <w:num w:numId="26">
    <w:abstractNumId w:val="25"/>
  </w:num>
  <w:num w:numId="27">
    <w:abstractNumId w:val="2"/>
  </w:num>
  <w:num w:numId="28">
    <w:abstractNumId w:val="24"/>
  </w:num>
  <w:num w:numId="29">
    <w:abstractNumId w:val="6"/>
  </w:num>
  <w:num w:numId="3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6D63"/>
    <w:rsid w:val="00034C03"/>
    <w:rsid w:val="00057429"/>
    <w:rsid w:val="000D104D"/>
    <w:rsid w:val="000E4E48"/>
    <w:rsid w:val="000F6C42"/>
    <w:rsid w:val="00106979"/>
    <w:rsid w:val="00132AD5"/>
    <w:rsid w:val="0014437F"/>
    <w:rsid w:val="001545DD"/>
    <w:rsid w:val="001B53F5"/>
    <w:rsid w:val="001C546B"/>
    <w:rsid w:val="001D6320"/>
    <w:rsid w:val="001E1354"/>
    <w:rsid w:val="00231DE0"/>
    <w:rsid w:val="002A3B93"/>
    <w:rsid w:val="002A5774"/>
    <w:rsid w:val="002A66CA"/>
    <w:rsid w:val="002E4490"/>
    <w:rsid w:val="00300AC1"/>
    <w:rsid w:val="00321765"/>
    <w:rsid w:val="003447C4"/>
    <w:rsid w:val="00354A2B"/>
    <w:rsid w:val="003B74AF"/>
    <w:rsid w:val="003F0CA0"/>
    <w:rsid w:val="004639AD"/>
    <w:rsid w:val="004D7FF1"/>
    <w:rsid w:val="00506177"/>
    <w:rsid w:val="005259E3"/>
    <w:rsid w:val="00530F8C"/>
    <w:rsid w:val="005434C7"/>
    <w:rsid w:val="005438D8"/>
    <w:rsid w:val="006202CE"/>
    <w:rsid w:val="0064203A"/>
    <w:rsid w:val="006674C2"/>
    <w:rsid w:val="00680808"/>
    <w:rsid w:val="00681A69"/>
    <w:rsid w:val="006D0FEE"/>
    <w:rsid w:val="006E4E87"/>
    <w:rsid w:val="00705637"/>
    <w:rsid w:val="00717811"/>
    <w:rsid w:val="00725F35"/>
    <w:rsid w:val="00741AEE"/>
    <w:rsid w:val="00772D07"/>
    <w:rsid w:val="007819E6"/>
    <w:rsid w:val="008076C2"/>
    <w:rsid w:val="00832518"/>
    <w:rsid w:val="00837FCA"/>
    <w:rsid w:val="00864CE7"/>
    <w:rsid w:val="00867DB9"/>
    <w:rsid w:val="008D4CE3"/>
    <w:rsid w:val="008D541C"/>
    <w:rsid w:val="008E4494"/>
    <w:rsid w:val="009175B7"/>
    <w:rsid w:val="009335FD"/>
    <w:rsid w:val="0098191B"/>
    <w:rsid w:val="009A6D63"/>
    <w:rsid w:val="009B7335"/>
    <w:rsid w:val="009C5B1C"/>
    <w:rsid w:val="00A07691"/>
    <w:rsid w:val="00A44105"/>
    <w:rsid w:val="00A6015D"/>
    <w:rsid w:val="00AB0140"/>
    <w:rsid w:val="00AF07CF"/>
    <w:rsid w:val="00B766E7"/>
    <w:rsid w:val="00BA58D5"/>
    <w:rsid w:val="00BA7CA4"/>
    <w:rsid w:val="00C413A6"/>
    <w:rsid w:val="00C42F70"/>
    <w:rsid w:val="00C64B1C"/>
    <w:rsid w:val="00CC0813"/>
    <w:rsid w:val="00CD24E2"/>
    <w:rsid w:val="00CD6B4C"/>
    <w:rsid w:val="00D005AB"/>
    <w:rsid w:val="00D11216"/>
    <w:rsid w:val="00D13B42"/>
    <w:rsid w:val="00D2771A"/>
    <w:rsid w:val="00D62BAD"/>
    <w:rsid w:val="00D62C08"/>
    <w:rsid w:val="00D83E0F"/>
    <w:rsid w:val="00D940A9"/>
    <w:rsid w:val="00DA3B4C"/>
    <w:rsid w:val="00DC075B"/>
    <w:rsid w:val="00E040E6"/>
    <w:rsid w:val="00E61C65"/>
    <w:rsid w:val="00E64ECB"/>
    <w:rsid w:val="00E655F9"/>
    <w:rsid w:val="00E76597"/>
    <w:rsid w:val="00EF4793"/>
    <w:rsid w:val="00EF664A"/>
    <w:rsid w:val="00F70CA0"/>
    <w:rsid w:val="00FE57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C0BC80"/>
  <w15:chartTrackingRefBased/>
  <w15:docId w15:val="{86AEE318-43AA-3A44-B1BF-586A91076D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MX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C5B1C"/>
    <w:rPr>
      <w:rFonts w:eastAsiaTheme="minorEastAsia"/>
      <w:lang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9C5B1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9C5B1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C6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61C65"/>
  </w:style>
  <w:style w:type="paragraph" w:styleId="Piedepgina">
    <w:name w:val="footer"/>
    <w:basedOn w:val="Normal"/>
    <w:link w:val="PiedepginaCar"/>
    <w:uiPriority w:val="99"/>
    <w:unhideWhenUsed/>
    <w:rsid w:val="00E61C6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C65"/>
  </w:style>
  <w:style w:type="paragraph" w:styleId="Prrafodelista">
    <w:name w:val="List Paragraph"/>
    <w:basedOn w:val="Normal"/>
    <w:link w:val="PrrafodelistaCar"/>
    <w:uiPriority w:val="34"/>
    <w:qFormat/>
    <w:rsid w:val="002A66CA"/>
    <w:pPr>
      <w:ind w:left="720"/>
      <w:contextualSpacing/>
    </w:pPr>
    <w:rPr>
      <w:rFonts w:ascii="Calibri" w:hAnsi="Calibri" w:cs="Times New Roman"/>
      <w:sz w:val="22"/>
      <w:szCs w:val="22"/>
    </w:rPr>
  </w:style>
  <w:style w:type="character" w:customStyle="1" w:styleId="PrrafodelistaCar">
    <w:name w:val="Párrafo de lista Car"/>
    <w:link w:val="Prrafodelista"/>
    <w:uiPriority w:val="34"/>
    <w:locked/>
    <w:rsid w:val="002A66CA"/>
    <w:rPr>
      <w:rFonts w:ascii="Calibri" w:hAnsi="Calibri" w:cs="Times New Roman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506177"/>
    <w:rPr>
      <w:rFonts w:ascii="Times New Roman" w:hAnsi="Times New Roman" w:cs="Times New Roman"/>
      <w:lang w:eastAsia="es-MX"/>
    </w:rPr>
  </w:style>
  <w:style w:type="character" w:styleId="Nmerodepgina">
    <w:name w:val="page number"/>
    <w:basedOn w:val="Fuentedeprrafopredeter"/>
    <w:uiPriority w:val="99"/>
    <w:semiHidden/>
    <w:unhideWhenUsed/>
    <w:rsid w:val="00A07691"/>
  </w:style>
  <w:style w:type="table" w:styleId="Tablanormal4">
    <w:name w:val="Plain Table 4"/>
    <w:basedOn w:val="Tablanormal"/>
    <w:uiPriority w:val="44"/>
    <w:rsid w:val="008076C2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extonotapie">
    <w:name w:val="footnote text"/>
    <w:basedOn w:val="Normal"/>
    <w:link w:val="TextonotapieCar"/>
    <w:uiPriority w:val="99"/>
    <w:rsid w:val="00D13B42"/>
    <w:pPr>
      <w:spacing w:before="240" w:after="120"/>
      <w:jc w:val="both"/>
    </w:pPr>
    <w:rPr>
      <w:rFonts w:ascii="Arial" w:eastAsia="Times New Roman" w:hAnsi="Arial" w:cs="Times New Roman"/>
      <w:sz w:val="20"/>
      <w:szCs w:val="20"/>
      <w:lang w:val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13B42"/>
    <w:rPr>
      <w:rFonts w:ascii="Arial" w:eastAsia="Times New Roman" w:hAnsi="Arial" w:cs="Times New Roman"/>
      <w:sz w:val="20"/>
      <w:szCs w:val="20"/>
      <w:lang w:val="en-US"/>
    </w:rPr>
  </w:style>
  <w:style w:type="character" w:styleId="Refdenotaalpie">
    <w:name w:val="footnote reference"/>
    <w:basedOn w:val="Fuentedeprrafopredeter"/>
    <w:uiPriority w:val="99"/>
    <w:rsid w:val="00D13B42"/>
    <w:rPr>
      <w:rFonts w:cs="Times New Roman"/>
      <w:vertAlign w:val="superscript"/>
    </w:rPr>
  </w:style>
  <w:style w:type="table" w:styleId="Tablaconcuadrcula">
    <w:name w:val="Table Grid"/>
    <w:basedOn w:val="Tablanormal"/>
    <w:uiPriority w:val="99"/>
    <w:rsid w:val="00D13B42"/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normal2">
    <w:name w:val="Plain Table 2"/>
    <w:basedOn w:val="Tablanormal"/>
    <w:uiPriority w:val="42"/>
    <w:rsid w:val="000E4E48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A6015D"/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6015D"/>
    <w:rPr>
      <w:rFonts w:ascii="Times New Roman" w:hAnsi="Times New Roman" w:cs="Times New Roman"/>
      <w:sz w:val="18"/>
      <w:szCs w:val="18"/>
    </w:rPr>
  </w:style>
  <w:style w:type="paragraph" w:styleId="Revisin">
    <w:name w:val="Revision"/>
    <w:hidden/>
    <w:uiPriority w:val="99"/>
    <w:semiHidden/>
    <w:rsid w:val="00A6015D"/>
  </w:style>
  <w:style w:type="character" w:customStyle="1" w:styleId="Ttulo2Car">
    <w:name w:val="Título 2 Car"/>
    <w:basedOn w:val="Fuentedeprrafopredeter"/>
    <w:link w:val="Ttulo2"/>
    <w:uiPriority w:val="9"/>
    <w:rsid w:val="009C5B1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eastAsia="es-ES"/>
    </w:rPr>
  </w:style>
  <w:style w:type="character" w:customStyle="1" w:styleId="Ttulo1Car">
    <w:name w:val="Título 1 Car"/>
    <w:basedOn w:val="Fuentedeprrafopredeter"/>
    <w:link w:val="Ttulo1"/>
    <w:uiPriority w:val="9"/>
    <w:rsid w:val="009C5B1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eastAsia="es-ES"/>
    </w:rPr>
  </w:style>
  <w:style w:type="paragraph" w:customStyle="1" w:styleId="Default">
    <w:name w:val="Default"/>
    <w:rsid w:val="008D4CE3"/>
    <w:pPr>
      <w:autoSpaceDE w:val="0"/>
      <w:autoSpaceDN w:val="0"/>
      <w:adjustRightInd w:val="0"/>
      <w:spacing w:after="200" w:line="288" w:lineRule="auto"/>
    </w:pPr>
    <w:rPr>
      <w:rFonts w:ascii="Arial" w:eastAsia="Times New Roman" w:hAnsi="Arial" w:cs="Arial"/>
      <w:color w:val="000000"/>
      <w:lang w:val="es-ES" w:eastAsia="es-ES"/>
    </w:rPr>
  </w:style>
  <w:style w:type="character" w:customStyle="1" w:styleId="footnotemark">
    <w:name w:val="footnote mark"/>
    <w:hidden/>
    <w:rsid w:val="00EF4793"/>
    <w:rPr>
      <w:rFonts w:ascii="Gill Sans MT" w:eastAsia="Gill Sans MT" w:hAnsi="Gill Sans MT" w:cs="Gill Sans MT"/>
      <w:color w:val="000000"/>
      <w:sz w:val="16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729</Words>
  <Characters>4015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 Cerna</dc:creator>
  <cp:keywords/>
  <dc:description/>
  <cp:lastModifiedBy>Selina Villegas</cp:lastModifiedBy>
  <cp:revision>10</cp:revision>
  <dcterms:created xsi:type="dcterms:W3CDTF">2021-01-21T23:36:00Z</dcterms:created>
  <dcterms:modified xsi:type="dcterms:W3CDTF">2021-01-22T02:28:00Z</dcterms:modified>
</cp:coreProperties>
</file>